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C5" w:rsidRPr="00512EC5" w:rsidRDefault="00512EC5" w:rsidP="00512E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00"/>
      <w:bookmarkStart w:id="1" w:name="sub_10136"/>
      <w:r w:rsidRPr="00512EC5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C42B3D5" wp14:editId="25F9DE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EC5" w:rsidRPr="00512EC5" w:rsidRDefault="00512EC5" w:rsidP="00512E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2EC5" w:rsidRPr="00512EC5" w:rsidRDefault="00512EC5" w:rsidP="00512E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12EC5" w:rsidRPr="00512EC5" w:rsidRDefault="00512EC5" w:rsidP="00512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12EC5" w:rsidRPr="00512EC5" w:rsidRDefault="00512EC5" w:rsidP="00512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12E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ГОСУДАРСТВЕННАЯ ЖИЛИЩНАЯ ИНСПЕКЦИЯ КАМЧАТСКОГО КРАЯ</w:t>
      </w:r>
    </w:p>
    <w:p w:rsidR="00512EC5" w:rsidRPr="00512EC5" w:rsidRDefault="00512EC5" w:rsidP="00512E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2EC5" w:rsidRPr="00512EC5" w:rsidRDefault="00512EC5" w:rsidP="00512E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2EC5" w:rsidRPr="00512EC5" w:rsidRDefault="00512EC5" w:rsidP="0051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</w:t>
      </w:r>
    </w:p>
    <w:p w:rsidR="00512EC5" w:rsidRPr="00512EC5" w:rsidRDefault="00512EC5" w:rsidP="00512E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12EC5" w:rsidRPr="00512EC5" w:rsidTr="00994E6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2EC5" w:rsidRPr="00512EC5" w:rsidRDefault="00512EC5" w:rsidP="00994E6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REGDATESTAMP"/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ата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регистрации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2"/>
          </w:p>
        </w:tc>
        <w:tc>
          <w:tcPr>
            <w:tcW w:w="425" w:type="dxa"/>
            <w:hideMark/>
          </w:tcPr>
          <w:p w:rsidR="00512EC5" w:rsidRPr="00512EC5" w:rsidRDefault="00512EC5" w:rsidP="00994E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2EC5" w:rsidRPr="00512EC5" w:rsidRDefault="00512EC5" w:rsidP="00994E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3" w:name="REGNUMSTAMP"/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[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Н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омер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документа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]</w:t>
            </w:r>
            <w:bookmarkEnd w:id="3"/>
          </w:p>
        </w:tc>
      </w:tr>
    </w:tbl>
    <w:p w:rsidR="00512EC5" w:rsidRPr="00512EC5" w:rsidRDefault="00512EC5" w:rsidP="00512EC5">
      <w:pPr>
        <w:spacing w:after="0" w:line="276" w:lineRule="auto"/>
        <w:ind w:right="55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г. Петропавловск-Камчатский</w:t>
      </w:r>
    </w:p>
    <w:p w:rsidR="00512EC5" w:rsidRPr="00512EC5" w:rsidRDefault="00512EC5" w:rsidP="00512EC5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5"/>
      </w:tblGrid>
      <w:tr w:rsidR="00512EC5" w:rsidRPr="00512EC5" w:rsidTr="00994E67">
        <w:tc>
          <w:tcPr>
            <w:tcW w:w="5245" w:type="dxa"/>
            <w:hideMark/>
          </w:tcPr>
          <w:p w:rsidR="00512EC5" w:rsidRPr="00512EC5" w:rsidRDefault="00512EC5" w:rsidP="00FD5B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утверждении Программы профилактики рисков причинения вреда (ущерба) охраняемым законам ценностям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на 202</w:t>
            </w:r>
            <w:r w:rsidR="00FD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Pr="00512E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512EC5" w:rsidRPr="00512EC5" w:rsidRDefault="00512EC5" w:rsidP="00512E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в целях предупреждения нарушения юридическими лицами, индивидуальными предпринимателями, осуществляющими предпринимательскую деятельность по управлению многоквартирными домами, лицензионных требований, соблюдение которых оценивается Государственной жилищной инспекцией Камчатского края (далее – Инспекция) при осуществлении </w:t>
      </w:r>
      <w:r w:rsidRPr="00512EC5">
        <w:rPr>
          <w:rFonts w:ascii="Times New Roman" w:hAnsi="Times New Roman" w:cs="Times New Roman"/>
          <w:color w:val="000000" w:themeColor="text1"/>
          <w:sz w:val="28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, устранения причин, факторов и условий, способствующих нарушению лицензионных требований:</w:t>
      </w:r>
    </w:p>
    <w:p w:rsidR="00512EC5" w:rsidRPr="00512EC5" w:rsidRDefault="00512EC5" w:rsidP="00512E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ПРИКАЗЫВАЮ:</w:t>
      </w: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pStyle w:val="a5"/>
        <w:widowControl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Инспекцией регионального</w:t>
      </w:r>
      <w:r w:rsidRPr="00512EC5">
        <w:rPr>
          <w:color w:val="000000" w:themeColor="text1"/>
          <w:sz w:val="28"/>
        </w:rPr>
        <w:t xml:space="preserve">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</w:t>
      </w: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 202</w:t>
      </w:r>
      <w:r w:rsidR="00FD5B99"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 согласно приложению, к настоящему приказу.</w:t>
      </w:r>
    </w:p>
    <w:p w:rsidR="00512EC5" w:rsidRPr="00512EC5" w:rsidRDefault="00512EC5" w:rsidP="00512EC5">
      <w:pPr>
        <w:pStyle w:val="a5"/>
        <w:widowControl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Руководителям структурных подразделений Инспекции, обеспечить своевременное и полное выполнение программы профилактики рисков причинения вреда (ущерба) охраняемым законом ценностям при осуществлении </w:t>
      </w:r>
      <w:r w:rsidRPr="00512EC5">
        <w:rPr>
          <w:color w:val="000000" w:themeColor="text1"/>
          <w:sz w:val="28"/>
        </w:rPr>
        <w:t>регионального государственного лицензионного контроля</w:t>
      </w: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773B5F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территории Камчатского края </w:t>
      </w: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t>в 202</w:t>
      </w:r>
      <w:r w:rsidR="00773B5F"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512EC5" w:rsidRPr="00512EC5" w:rsidRDefault="00512EC5" w:rsidP="00512EC5">
      <w:pPr>
        <w:pStyle w:val="a5"/>
        <w:widowControl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512EC5" w:rsidRPr="00512EC5" w:rsidRDefault="00512EC5" w:rsidP="00512E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85"/>
        <w:gridCol w:w="1985"/>
      </w:tblGrid>
      <w:tr w:rsidR="00512EC5" w:rsidRPr="00512EC5" w:rsidTr="00994E67">
        <w:trPr>
          <w:trHeight w:val="1335"/>
        </w:trPr>
        <w:tc>
          <w:tcPr>
            <w:tcW w:w="3828" w:type="dxa"/>
            <w:shd w:val="clear" w:color="auto" w:fill="auto"/>
          </w:tcPr>
          <w:p w:rsidR="00512EC5" w:rsidRPr="00512EC5" w:rsidRDefault="00512EC5" w:rsidP="00994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Инспекции-</w:t>
            </w:r>
          </w:p>
          <w:p w:rsidR="00512EC5" w:rsidRPr="00512EC5" w:rsidRDefault="00512EC5" w:rsidP="00994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государственный</w:t>
            </w:r>
          </w:p>
          <w:p w:rsidR="00512EC5" w:rsidRPr="00512EC5" w:rsidRDefault="00512EC5" w:rsidP="00994E67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жилищный инспектор Камчатского края</w:t>
            </w:r>
          </w:p>
        </w:tc>
        <w:tc>
          <w:tcPr>
            <w:tcW w:w="3685" w:type="dxa"/>
            <w:shd w:val="clear" w:color="auto" w:fill="auto"/>
          </w:tcPr>
          <w:p w:rsidR="00512EC5" w:rsidRPr="00512EC5" w:rsidRDefault="00512EC5" w:rsidP="00994E6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[горизонтальный штамп подписи 1]</w:t>
            </w:r>
          </w:p>
          <w:p w:rsidR="00512EC5" w:rsidRPr="00512EC5" w:rsidRDefault="00512EC5" w:rsidP="00994E6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12EC5" w:rsidRPr="00512EC5" w:rsidRDefault="00512EC5" w:rsidP="00994E67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2EC5" w:rsidRPr="00512EC5" w:rsidRDefault="00512EC5" w:rsidP="00994E67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2EC5" w:rsidRPr="00512EC5" w:rsidRDefault="00512EC5" w:rsidP="00994E6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2EC5" w:rsidRPr="00512EC5" w:rsidRDefault="00512EC5" w:rsidP="00994E6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 Суколин</w:t>
            </w:r>
          </w:p>
        </w:tc>
      </w:tr>
      <w:bookmarkEnd w:id="0"/>
      <w:bookmarkEnd w:id="1"/>
    </w:tbl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rPr>
          <w:color w:val="000000" w:themeColor="text1"/>
        </w:rPr>
      </w:pPr>
    </w:p>
    <w:p w:rsidR="00512EC5" w:rsidRPr="00512EC5" w:rsidRDefault="00512EC5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12EC5" w:rsidRDefault="00512EC5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73B5F" w:rsidRDefault="00773B5F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73B5F" w:rsidRPr="00512EC5" w:rsidRDefault="00773B5F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73B5F" w:rsidRDefault="00773B5F" w:rsidP="00512EC5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73B5F" w:rsidRPr="00773B5F" w:rsidRDefault="00773B5F" w:rsidP="00773B5F">
      <w:pPr>
        <w:spacing w:before="375"/>
        <w:ind w:left="5670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4" w:name="_GoBack"/>
      <w:bookmarkEnd w:id="4"/>
      <w:r w:rsidRPr="00773B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УТВЕРЖДЕНА                                                                              Приказом Государственной жилищной инспекции                                                                                                                                             Камчатского края </w:t>
      </w:r>
    </w:p>
    <w:p w:rsidR="00773B5F" w:rsidRPr="00773B5F" w:rsidRDefault="00773B5F" w:rsidP="00773B5F">
      <w:pPr>
        <w:spacing w:before="375"/>
        <w:ind w:left="5670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3B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«___» ________ 202_ г. № ___</w:t>
      </w:r>
    </w:p>
    <w:p w:rsidR="00773B5F" w:rsidRDefault="00773B5F" w:rsidP="00773B5F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512EC5" w:rsidRPr="00512EC5" w:rsidRDefault="00512EC5" w:rsidP="00512EC5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ПРОГРАММА</w:t>
      </w:r>
    </w:p>
    <w:p w:rsidR="00512EC5" w:rsidRPr="00512EC5" w:rsidRDefault="00512EC5" w:rsidP="00512EC5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12EC5" w:rsidRPr="00512EC5" w:rsidRDefault="00512EC5" w:rsidP="00512EC5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Государственной жилищной инспекцией Камчатского края полномочий по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региональному государственному лицензионному контролю</w:t>
      </w:r>
      <w:r w:rsidRPr="00512E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202</w:t>
      </w:r>
      <w:r w:rsidR="00773B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</w:p>
    <w:p w:rsidR="00512EC5" w:rsidRPr="00512EC5" w:rsidRDefault="00512EC5" w:rsidP="00512E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228"/>
      </w:tblGrid>
      <w:tr w:rsidR="00512EC5" w:rsidRPr="00512EC5" w:rsidTr="00994E67">
        <w:trPr>
          <w:trHeight w:val="551"/>
        </w:trPr>
        <w:tc>
          <w:tcPr>
            <w:tcW w:w="2411" w:type="dxa"/>
            <w:shd w:val="clear" w:color="auto" w:fill="auto"/>
          </w:tcPr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8" w:type="dxa"/>
            <w:shd w:val="clear" w:color="auto" w:fill="auto"/>
          </w:tcPr>
          <w:p w:rsidR="00512EC5" w:rsidRPr="00512EC5" w:rsidRDefault="00512EC5" w:rsidP="00773B5F">
            <w:pPr>
              <w:pStyle w:val="TableParagraph"/>
              <w:tabs>
                <w:tab w:val="left" w:pos="885"/>
              </w:tabs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Государственной жилищной инспекцией Камчатского края полномочий по региональному государственному лицензионному контролю на 202</w:t>
            </w:r>
            <w:r w:rsidR="00773B5F">
              <w:rPr>
                <w:color w:val="000000" w:themeColor="text1"/>
                <w:sz w:val="28"/>
                <w:szCs w:val="28"/>
              </w:rPr>
              <w:t>3</w:t>
            </w:r>
            <w:r w:rsidRPr="00512EC5">
              <w:rPr>
                <w:color w:val="000000" w:themeColor="text1"/>
                <w:sz w:val="28"/>
                <w:szCs w:val="28"/>
              </w:rPr>
              <w:t xml:space="preserve"> год (далее – Программа профилактики).</w:t>
            </w:r>
          </w:p>
        </w:tc>
      </w:tr>
      <w:tr w:rsidR="00512EC5" w:rsidRPr="00512EC5" w:rsidTr="00994E67">
        <w:trPr>
          <w:trHeight w:val="1657"/>
        </w:trPr>
        <w:tc>
          <w:tcPr>
            <w:tcW w:w="2411" w:type="dxa"/>
            <w:shd w:val="clear" w:color="auto" w:fill="auto"/>
          </w:tcPr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228" w:type="dxa"/>
            <w:shd w:val="clear" w:color="auto" w:fill="auto"/>
          </w:tcPr>
          <w:p w:rsidR="00512EC5" w:rsidRPr="00512EC5" w:rsidRDefault="00512EC5" w:rsidP="00773B5F">
            <w:pPr>
              <w:pStyle w:val="TableParagraph"/>
              <w:ind w:right="142" w:firstLine="33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512EC5" w:rsidRPr="00512EC5" w:rsidTr="00994E67">
        <w:trPr>
          <w:trHeight w:val="275"/>
        </w:trPr>
        <w:tc>
          <w:tcPr>
            <w:tcW w:w="2411" w:type="dxa"/>
            <w:shd w:val="clear" w:color="auto" w:fill="auto"/>
          </w:tcPr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7228" w:type="dxa"/>
            <w:shd w:val="clear" w:color="auto" w:fill="auto"/>
          </w:tcPr>
          <w:p w:rsidR="00512EC5" w:rsidRPr="00512EC5" w:rsidRDefault="00512EC5" w:rsidP="00773B5F">
            <w:pPr>
              <w:pStyle w:val="TableParagraph"/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 xml:space="preserve">Государственная жилищная инспекция Камчатского края (далее – Инспекция) </w:t>
            </w:r>
          </w:p>
        </w:tc>
      </w:tr>
      <w:tr w:rsidR="00512EC5" w:rsidRPr="00512EC5" w:rsidTr="00994E67">
        <w:trPr>
          <w:trHeight w:val="399"/>
        </w:trPr>
        <w:tc>
          <w:tcPr>
            <w:tcW w:w="2411" w:type="dxa"/>
            <w:shd w:val="clear" w:color="auto" w:fill="auto"/>
          </w:tcPr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228" w:type="dxa"/>
            <w:shd w:val="clear" w:color="auto" w:fill="auto"/>
          </w:tcPr>
          <w:p w:rsidR="00512EC5" w:rsidRPr="00512EC5" w:rsidRDefault="00512EC5" w:rsidP="00773B5F">
            <w:pPr>
              <w:pStyle w:val="TableParagraph"/>
              <w:tabs>
                <w:tab w:val="left" w:pos="141"/>
              </w:tabs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1. Предупреждение и предотвращение возникновения рисков причинения вреда (ущерба) охраняемым законом ценностям вследствие нарушения лицензионных требований законодательства при осуществлении предпринимательской деятельности по управлению многоквартирными домами.</w:t>
            </w:r>
          </w:p>
          <w:p w:rsidR="00512EC5" w:rsidRPr="00512EC5" w:rsidRDefault="00512EC5" w:rsidP="00773B5F">
            <w:pPr>
              <w:pStyle w:val="TableParagraph"/>
              <w:tabs>
                <w:tab w:val="left" w:pos="399"/>
              </w:tabs>
              <w:ind w:right="142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2. С</w:t>
            </w:r>
            <w:r w:rsidRPr="00512EC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тимулирование добросовестного соблюдения обязательных требований всеми </w:t>
            </w:r>
            <w:r w:rsidRPr="00512EC5">
              <w:rPr>
                <w:color w:val="000000" w:themeColor="text1"/>
                <w:sz w:val="28"/>
                <w:szCs w:val="28"/>
              </w:rPr>
              <w:t>юридическими лицами, индивидуальными предпринимателями, осуществляющими предпринимательскую деятельность по управлению многоквартирными домами</w:t>
            </w:r>
            <w:r w:rsidRPr="00512EC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на основании лицензии (далее - контролируемые лица).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sub_440102"/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bookmarkStart w:id="6" w:name="sub_440103"/>
            <w:bookmarkEnd w:id="5"/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bookmarkEnd w:id="6"/>
          <w:p w:rsidR="00512EC5" w:rsidRPr="00512EC5" w:rsidRDefault="00512EC5" w:rsidP="00F303DB">
            <w:pPr>
              <w:pStyle w:val="TableParagraph"/>
              <w:tabs>
                <w:tab w:val="left" w:pos="399"/>
              </w:tabs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4. Повышение прозрачности деятельности Инспекции при осуществлении государственного лицензионного контроля за деятельностью контролируемых лиц.</w:t>
            </w:r>
          </w:p>
          <w:p w:rsidR="00512EC5" w:rsidRPr="00512EC5" w:rsidRDefault="00512EC5" w:rsidP="00F303DB">
            <w:pPr>
              <w:pStyle w:val="TableParagraph"/>
              <w:tabs>
                <w:tab w:val="left" w:pos="502"/>
              </w:tabs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5. Снижение административной нагрузки на контролируемых лиц.</w:t>
            </w:r>
          </w:p>
          <w:p w:rsidR="00512EC5" w:rsidRPr="00512EC5" w:rsidRDefault="00512EC5" w:rsidP="00F303DB">
            <w:pPr>
              <w:pStyle w:val="TableParagraph"/>
              <w:tabs>
                <w:tab w:val="left" w:pos="502"/>
              </w:tabs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6.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512EC5" w:rsidRPr="00512EC5" w:rsidRDefault="00512EC5" w:rsidP="00F303DB">
            <w:pPr>
              <w:pStyle w:val="TableParagraph"/>
              <w:tabs>
                <w:tab w:val="left" w:pos="502"/>
              </w:tabs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7. Устранение существующих и потенциальных причин и условий, способствующих нарушению лицензионных требований и возникновению рисков причинения вреда (ущерба) охраняемым законом ценностям в сфере осуществления предпринимательской деятельности по управлению многоквартирными домами;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Повышение эффективности и результативности осуществления регионального государственного лицензионного контроля.</w:t>
            </w:r>
          </w:p>
          <w:p w:rsidR="00512EC5" w:rsidRPr="00512EC5" w:rsidRDefault="00512EC5" w:rsidP="00994E67">
            <w:pPr>
              <w:pStyle w:val="TableParagraph"/>
              <w:tabs>
                <w:tab w:val="left" w:pos="50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2EC5" w:rsidRPr="00512EC5" w:rsidTr="00994E67">
        <w:trPr>
          <w:trHeight w:val="399"/>
        </w:trPr>
        <w:tc>
          <w:tcPr>
            <w:tcW w:w="2411" w:type="dxa"/>
            <w:shd w:val="clear" w:color="auto" w:fill="auto"/>
          </w:tcPr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7228" w:type="dxa"/>
            <w:shd w:val="clear" w:color="auto" w:fill="auto"/>
          </w:tcPr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осуществления регионального государственного лицензионного контроля.</w:t>
            </w:r>
          </w:p>
          <w:p w:rsidR="00512EC5" w:rsidRPr="00512EC5" w:rsidRDefault="00512EC5" w:rsidP="00F303DB">
            <w:pPr>
              <w:pStyle w:val="TableParagraph"/>
              <w:tabs>
                <w:tab w:val="left" w:pos="387"/>
              </w:tabs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2.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Создание системы консультирования контролируемых лиц, в том числе с использованием современных информационно-телекоммуникационных технологий. - выявление причин, факторов и условий, способствующих возникновению рисков причинения вреда (ущерба) охраняемым законом ценностям в результате нарушения лицензионных требований, установленных жилищным законодательством, законодательством об энергосбережении и о повышении энергетической эффективности.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4.Формирование у контролируемых лиц единого понимания лицензионных требований, нарушение которых влечет возникновение рисков причинения вреда (ущерба) охраняемым законом ценностям, повышение их информированности о способах соблюдения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лицензионных требований и устранения рисков причинения вреда (ущерба) охраняемым законом ценностям.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Формирование и внедрение новых форм взаимодействия с контролируемыми лицами;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      </w:r>
          </w:p>
        </w:tc>
      </w:tr>
      <w:tr w:rsidR="00512EC5" w:rsidRPr="00512EC5" w:rsidTr="00994E67">
        <w:trPr>
          <w:trHeight w:val="693"/>
        </w:trPr>
        <w:tc>
          <w:tcPr>
            <w:tcW w:w="2411" w:type="dxa"/>
            <w:shd w:val="clear" w:color="auto" w:fill="auto"/>
          </w:tcPr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228" w:type="dxa"/>
            <w:shd w:val="clear" w:color="auto" w:fill="auto"/>
            <w:vAlign w:val="center"/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F30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2EC5" w:rsidRPr="00512EC5" w:rsidTr="00994E67">
        <w:trPr>
          <w:trHeight w:val="418"/>
        </w:trPr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Реализация программы осуществляется Инспекцией за счет средств бюджета Камчатского края, выделяемых на обеспечение ее деятельности. Привлечение иных кадровых, материальных и финансовых ресурсов для реализации программы не требуется.</w:t>
            </w:r>
          </w:p>
        </w:tc>
      </w:tr>
      <w:tr w:rsidR="00512EC5" w:rsidRPr="00512EC5" w:rsidTr="00994E67">
        <w:trPr>
          <w:trHeight w:val="418"/>
        </w:trPr>
        <w:tc>
          <w:tcPr>
            <w:tcW w:w="2411" w:type="dxa"/>
            <w:shd w:val="clear" w:color="auto" w:fill="auto"/>
          </w:tcPr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228" w:type="dxa"/>
            <w:shd w:val="clear" w:color="auto" w:fill="auto"/>
            <w:vAlign w:val="center"/>
          </w:tcPr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Снижение рисков причинения вреда охраняемым законом ценностям.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Инспекции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Внедрение различных способов профилактики.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Повышение прозрачности деятельности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Инспекции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Уменьшение административной нагрузки на контролируемых лиц.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Повышение уровня правовой грамотности контролируемых лиц.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Обеспечение единообразия понимания предмета контроля контролируемыми лицами.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Мотивация контролируемых лиц к добросовестному поведению.</w:t>
            </w:r>
          </w:p>
        </w:tc>
      </w:tr>
      <w:tr w:rsidR="00512EC5" w:rsidRPr="00512EC5" w:rsidTr="00994E67">
        <w:trPr>
          <w:trHeight w:val="418"/>
        </w:trPr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 xml:space="preserve">Структура </w:t>
            </w:r>
          </w:p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программы</w:t>
            </w:r>
          </w:p>
          <w:p w:rsidR="00512EC5" w:rsidRPr="00512EC5" w:rsidRDefault="00512EC5" w:rsidP="00994E6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профилактики</w:t>
            </w:r>
          </w:p>
        </w:tc>
        <w:tc>
          <w:tcPr>
            <w:tcW w:w="72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2EC5" w:rsidRPr="00512EC5" w:rsidRDefault="00512EC5" w:rsidP="00F303DB">
            <w:pPr>
              <w:pStyle w:val="3"/>
              <w:spacing w:before="0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Раздел 1.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текущего состояния осуществления регионального государственного лицензионного контроля, описание текущего развития профилактической деятельности Инспекции, характеристика проблем, на решение которых направлена программа профилактики.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 2. Цели и задачи реализации программы профилактики.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проведения.</w:t>
            </w:r>
          </w:p>
          <w:p w:rsidR="00512EC5" w:rsidRPr="00512EC5" w:rsidRDefault="00512EC5" w:rsidP="00F303D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 4. Показатели результативности и эффективности программы профилактики.</w:t>
            </w:r>
          </w:p>
        </w:tc>
      </w:tr>
    </w:tbl>
    <w:p w:rsidR="00512EC5" w:rsidRPr="00512EC5" w:rsidRDefault="00512EC5" w:rsidP="00512EC5">
      <w:pPr>
        <w:pStyle w:val="3"/>
        <w:spacing w:before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 1. Анализ текущего состояния осуществления регионального государственного лицензионного контроля</w:t>
      </w:r>
    </w:p>
    <w:p w:rsidR="00512EC5" w:rsidRPr="00512EC5" w:rsidRDefault="00512EC5" w:rsidP="00512E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Государственная жилищная инспекция Камчатского края является исполнительным органом государственной власти Камчатского края, осуществляющим полномочия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(далее – лицензионный контроль)</w:t>
      </w: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:rsidR="00512EC5" w:rsidRPr="00512EC5" w:rsidRDefault="00512EC5" w:rsidP="00512EC5">
      <w:pPr>
        <w:spacing w:after="0" w:line="240" w:lineRule="auto"/>
        <w:ind w:firstLine="708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Контролируемыми лицами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программы профилактики являются</w:t>
      </w: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лица, индивидуальные предприниматели, осуществляющие предпринимательскую деятельность на основании лицензии на которых возложена обязанность по исполнению обязательных требований, установленных жилищным законодательством и законодательском об энергосбережении и о повышении энергетической эффективности.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отношении подконтрольных субъектов проведено 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1746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проверок, в 202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- 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проверок.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проведенных проверок по лицензионному контролю выявлено нарушений обязательных требований в 202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1828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, в 202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2 году - 168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, из которых наиболее часто имеют место нарушения порядка расчета платы за жилищно-коммунальные услуги, раскрытия информации в государственной информационной системы жилищно-коммунального хозяйства (далее - ГИС ЖКХ, качества предоставляемых коммунальных услуг, правил и норм технической эксплуатации жилищного фонда.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организовано и проведено 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семинар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совещаний с контролируемыми лицами, в 202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. На совещания приглашались также представители органов государственной власти и местного самоуправления Камчатского края, Городской Думы, прокуратуры.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указанных совещаниях анализировались деятельность контролируемых лиц; практика предупреждения нарушений обязательных требований жилищного  законодательства; вопросы внедрения и использования государственной информационной системы жилищно-коммунального хозяйства (ГИС ЖКХ) на территории Камчатского края; практика контроля за осуществлением капитального ремонта и формированием фондов капитального ремонта; проблемы применения нормативов за коммунальные услуги и введения платы за коммунальную услугу по вывозу твердых коммунальных отходов (TKO); новеллы законодательства в сфере ЖКХ.</w:t>
      </w:r>
    </w:p>
    <w:p w:rsidR="00512EC5" w:rsidRPr="00512EC5" w:rsidRDefault="00512EC5" w:rsidP="00512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профилактики нарушений обязательных требований на официальном сайте Инспекции в сети Интернет регулярно публикуется в разделах «Новости», «Результаты работы» информация о проведенных контрольных мероприятиях, о выявляемых нарушениях, о мерах, предпринимаемых для их устранения, и о результатах контрольной деятельности, нормативные правовые акты, </w:t>
      </w: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содержащие обязательные требования, соблюдение которых оценивается при проведении мероприятий по контролю.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Так, в 202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сайте Инспекции было размещено около 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пресс-релизов по вопросам, возникающим в сфере управления многоквартирными домами, в 202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публикация и 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пресс-релизов.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Программа профилактики направлена на</w:t>
      </w: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повышение эффективности</w:t>
      </w: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контролируемых лиц</w:t>
      </w: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</w:p>
    <w:p w:rsidR="00512EC5" w:rsidRPr="00717E3E" w:rsidRDefault="00512EC5" w:rsidP="00717E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предотвращения нарушений обязательных требований должностными лицами Инспекции применяется выдача предостережений контролируемым лицам о недопустимости нарушения обязательных требований (202</w:t>
      </w:r>
      <w:r w:rsidR="00717E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- </w:t>
      </w:r>
      <w:r w:rsidR="00717E3E" w:rsidRPr="00717E3E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717E3E">
        <w:rPr>
          <w:rFonts w:ascii="Times New Roman" w:hAnsi="Times New Roman" w:cs="Times New Roman"/>
          <w:color w:val="000000" w:themeColor="text1"/>
          <w:sz w:val="28"/>
          <w:szCs w:val="28"/>
        </w:rPr>
        <w:t>, 202</w:t>
      </w:r>
      <w:r w:rsidR="00717E3E" w:rsidRPr="00717E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1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выдано </w:t>
      </w:r>
      <w:r w:rsidR="00717E3E" w:rsidRPr="00717E3E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Pr="0071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предостережений).</w:t>
      </w:r>
    </w:p>
    <w:p w:rsidR="00717E3E" w:rsidRPr="00717E3E" w:rsidRDefault="00717E3E" w:rsidP="00717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3E">
        <w:rPr>
          <w:rFonts w:ascii="Times New Roman" w:hAnsi="Times New Roman" w:cs="Times New Roman"/>
          <w:sz w:val="28"/>
          <w:szCs w:val="28"/>
        </w:rPr>
        <w:t>В 2021 году в связи с выполнением требований постановления Губернатора Камчатского края от 10.04.2020 № 50 «О мерах по недопущению распространения новой коронавирусной инфекции (COVID-19) на территории Камчатского края», в отчетном периоде 2022 года в связи с выполнением требований постановлений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 и от 08.07.2022 № 75 «О мерах по недопущению распространения новой коронавирусной инфекции (COVID-19) на территории Камчатского края» использовались дистанционные формы и методы профилактики нарушений обязательных требований, электронные средства взаимодействия.</w:t>
      </w:r>
    </w:p>
    <w:p w:rsidR="00717E3E" w:rsidRPr="00717E3E" w:rsidRDefault="00717E3E" w:rsidP="00717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3E">
        <w:rPr>
          <w:rFonts w:ascii="Times New Roman" w:hAnsi="Times New Roman" w:cs="Times New Roman"/>
          <w:sz w:val="28"/>
          <w:szCs w:val="28"/>
        </w:rPr>
        <w:t>В указанный период особое внимание обращено на разъяснение дополнительных требований к деятельности контролируемых лиц в сложившейся санитарно-эпидемиологической обстановке, предпринимались меры к обеспечению выполнения требований, направленных на стабилизацию и улучшение эпидемиологической обстановки.</w:t>
      </w:r>
    </w:p>
    <w:p w:rsidR="00717E3E" w:rsidRPr="00717E3E" w:rsidRDefault="00717E3E" w:rsidP="00717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3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 может быть обеспечено за счет информированности об обязательных требованиях и мотивации к добросовестному поведению юридических лиц, индивидуальных предпринимателей и граждан в сфере жилищных отношений.</w:t>
      </w:r>
    </w:p>
    <w:p w:rsidR="00512EC5" w:rsidRPr="00717E3E" w:rsidRDefault="00512EC5" w:rsidP="00717E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Раздел 2. Цели и задачи реализации программы профилактики</w:t>
      </w:r>
    </w:p>
    <w:p w:rsidR="00512EC5" w:rsidRPr="00512EC5" w:rsidRDefault="00512EC5" w:rsidP="00512EC5">
      <w:pPr>
        <w:pStyle w:val="3"/>
        <w:spacing w:before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512EC5" w:rsidRPr="00512EC5" w:rsidRDefault="00512EC5" w:rsidP="00512EC5">
      <w:pPr>
        <w:pStyle w:val="TableParagraph"/>
        <w:tabs>
          <w:tab w:val="left" w:pos="141"/>
        </w:tabs>
        <w:ind w:firstLine="709"/>
        <w:jc w:val="both"/>
        <w:rPr>
          <w:color w:val="000000" w:themeColor="text1"/>
          <w:sz w:val="28"/>
          <w:szCs w:val="28"/>
        </w:rPr>
      </w:pPr>
      <w:r w:rsidRPr="00512EC5">
        <w:rPr>
          <w:color w:val="000000" w:themeColor="text1"/>
          <w:sz w:val="28"/>
          <w:szCs w:val="28"/>
        </w:rPr>
        <w:t>1</w:t>
      </w:r>
      <w:r w:rsidR="007F4FD2">
        <w:rPr>
          <w:color w:val="000000" w:themeColor="text1"/>
          <w:sz w:val="28"/>
          <w:szCs w:val="28"/>
        </w:rPr>
        <w:t>)</w:t>
      </w:r>
      <w:r w:rsidRPr="00512EC5">
        <w:rPr>
          <w:color w:val="000000" w:themeColor="text1"/>
          <w:sz w:val="28"/>
          <w:szCs w:val="28"/>
        </w:rPr>
        <w:t xml:space="preserve"> предупреждение и предотвращение возникновения рисков причинения вреда (ущерба) охраняемым законом ценностям вследствие нарушения лицензионных требований законодательства при осуществлении предпринимательской деятельности по управлению многоквартирными домами;</w:t>
      </w:r>
    </w:p>
    <w:p w:rsidR="00512EC5" w:rsidRPr="00512EC5" w:rsidRDefault="007F4FD2" w:rsidP="00512EC5">
      <w:pPr>
        <w:pStyle w:val="TableParagraph"/>
        <w:tabs>
          <w:tab w:val="left" w:pos="399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512EC5" w:rsidRPr="00512EC5">
        <w:rPr>
          <w:color w:val="000000" w:themeColor="text1"/>
          <w:sz w:val="28"/>
          <w:szCs w:val="28"/>
        </w:rPr>
        <w:t xml:space="preserve"> с</w:t>
      </w:r>
      <w:r w:rsidR="00512EC5" w:rsidRPr="00512EC5">
        <w:rPr>
          <w:rFonts w:eastAsiaTheme="minorHAnsi"/>
          <w:color w:val="000000" w:themeColor="text1"/>
          <w:sz w:val="28"/>
          <w:szCs w:val="28"/>
        </w:rPr>
        <w:t>тимулирование добросовестного соблюдения обязательных требований контролируемыми лицами;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4F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2EC5" w:rsidRPr="00512EC5" w:rsidRDefault="00512EC5" w:rsidP="00512EC5">
      <w:pPr>
        <w:pStyle w:val="TableParagraph"/>
        <w:tabs>
          <w:tab w:val="left" w:pos="399"/>
        </w:tabs>
        <w:ind w:firstLine="709"/>
        <w:jc w:val="both"/>
        <w:rPr>
          <w:color w:val="000000" w:themeColor="text1"/>
          <w:sz w:val="28"/>
          <w:szCs w:val="28"/>
        </w:rPr>
      </w:pPr>
      <w:r w:rsidRPr="00512EC5">
        <w:rPr>
          <w:color w:val="000000" w:themeColor="text1"/>
          <w:sz w:val="28"/>
          <w:szCs w:val="28"/>
        </w:rPr>
        <w:t>4</w:t>
      </w:r>
      <w:r w:rsidR="007F4FD2">
        <w:rPr>
          <w:color w:val="000000" w:themeColor="text1"/>
          <w:sz w:val="28"/>
          <w:szCs w:val="28"/>
        </w:rPr>
        <w:t>)</w:t>
      </w:r>
      <w:r w:rsidRPr="00512EC5">
        <w:rPr>
          <w:color w:val="000000" w:themeColor="text1"/>
          <w:sz w:val="28"/>
          <w:szCs w:val="28"/>
        </w:rPr>
        <w:t xml:space="preserve"> повышение прозрачности деятельности Инспекции при осуществлении лицензионного контроля за деятельностью контролируемых лиц;</w:t>
      </w:r>
    </w:p>
    <w:p w:rsidR="00512EC5" w:rsidRPr="00512EC5" w:rsidRDefault="00512EC5" w:rsidP="00512EC5">
      <w:pPr>
        <w:pStyle w:val="TableParagraph"/>
        <w:tabs>
          <w:tab w:val="left" w:pos="502"/>
        </w:tabs>
        <w:ind w:firstLine="709"/>
        <w:jc w:val="both"/>
        <w:rPr>
          <w:color w:val="000000" w:themeColor="text1"/>
          <w:sz w:val="28"/>
          <w:szCs w:val="28"/>
        </w:rPr>
      </w:pPr>
      <w:r w:rsidRPr="00512EC5">
        <w:rPr>
          <w:color w:val="000000" w:themeColor="text1"/>
          <w:sz w:val="28"/>
          <w:szCs w:val="28"/>
        </w:rPr>
        <w:lastRenderedPageBreak/>
        <w:t>5</w:t>
      </w:r>
      <w:r w:rsidR="007F4FD2">
        <w:rPr>
          <w:color w:val="000000" w:themeColor="text1"/>
          <w:sz w:val="28"/>
          <w:szCs w:val="28"/>
        </w:rPr>
        <w:t>)</w:t>
      </w:r>
      <w:r w:rsidRPr="00512EC5">
        <w:rPr>
          <w:color w:val="000000" w:themeColor="text1"/>
          <w:sz w:val="28"/>
          <w:szCs w:val="28"/>
        </w:rPr>
        <w:t xml:space="preserve"> снижение административной нагрузки на контролируемых лиц;</w:t>
      </w:r>
    </w:p>
    <w:p w:rsidR="00512EC5" w:rsidRPr="00512EC5" w:rsidRDefault="00512EC5" w:rsidP="00512EC5">
      <w:pPr>
        <w:pStyle w:val="TableParagraph"/>
        <w:tabs>
          <w:tab w:val="left" w:pos="502"/>
        </w:tabs>
        <w:ind w:firstLine="709"/>
        <w:jc w:val="both"/>
        <w:rPr>
          <w:color w:val="000000" w:themeColor="text1"/>
          <w:sz w:val="28"/>
          <w:szCs w:val="28"/>
        </w:rPr>
      </w:pPr>
      <w:r w:rsidRPr="00512EC5">
        <w:rPr>
          <w:color w:val="000000" w:themeColor="text1"/>
          <w:sz w:val="28"/>
          <w:szCs w:val="28"/>
        </w:rPr>
        <w:t>6</w:t>
      </w:r>
      <w:r w:rsidR="007F4FD2">
        <w:rPr>
          <w:color w:val="000000" w:themeColor="text1"/>
          <w:sz w:val="28"/>
          <w:szCs w:val="28"/>
        </w:rPr>
        <w:t>)</w:t>
      </w:r>
      <w:r w:rsidRPr="00512EC5">
        <w:rPr>
          <w:color w:val="000000" w:themeColor="text1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2EC5" w:rsidRPr="00512EC5" w:rsidRDefault="00512EC5" w:rsidP="00512EC5">
      <w:pPr>
        <w:pStyle w:val="TableParagraph"/>
        <w:tabs>
          <w:tab w:val="left" w:pos="502"/>
        </w:tabs>
        <w:ind w:firstLine="709"/>
        <w:jc w:val="both"/>
        <w:rPr>
          <w:color w:val="000000" w:themeColor="text1"/>
          <w:sz w:val="28"/>
          <w:szCs w:val="28"/>
        </w:rPr>
      </w:pPr>
      <w:r w:rsidRPr="00512EC5">
        <w:rPr>
          <w:color w:val="000000" w:themeColor="text1"/>
          <w:sz w:val="28"/>
          <w:szCs w:val="28"/>
        </w:rPr>
        <w:t>7</w:t>
      </w:r>
      <w:r w:rsidR="007F4FD2">
        <w:rPr>
          <w:color w:val="000000" w:themeColor="text1"/>
          <w:sz w:val="28"/>
          <w:szCs w:val="28"/>
        </w:rPr>
        <w:t>)</w:t>
      </w:r>
      <w:r w:rsidRPr="00512EC5">
        <w:rPr>
          <w:color w:val="000000" w:themeColor="text1"/>
          <w:sz w:val="28"/>
          <w:szCs w:val="28"/>
        </w:rPr>
        <w:t xml:space="preserve"> устранение существующих и потенциальных причин и условий, способствующих нарушению лицензионных требований и возникновению рисков причинения вреда (ущерба) охраняемым законом ценностям в сфере осуществления предпринимательской деятельности по управлению многоквартирными домами;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4F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эффективности и результативности осуществления лицензионного контроля;</w:t>
      </w:r>
    </w:p>
    <w:p w:rsidR="00512EC5" w:rsidRPr="00512EC5" w:rsidRDefault="00512EC5" w:rsidP="00512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Инспекцией профилактических мероприятий направлено на решение следующих задач:</w:t>
      </w:r>
    </w:p>
    <w:p w:rsidR="00512EC5" w:rsidRPr="00512EC5" w:rsidRDefault="007F4FD2" w:rsidP="0051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512EC5"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выявление причин, факторов и условий, способствующих нарушению обязательных требований в сфере осуществления лицензионного контроля;</w:t>
      </w:r>
    </w:p>
    <w:p w:rsidR="00512EC5" w:rsidRPr="00512EC5" w:rsidRDefault="00512EC5" w:rsidP="00512EC5">
      <w:pPr>
        <w:pStyle w:val="TableParagraph"/>
        <w:tabs>
          <w:tab w:val="left" w:pos="387"/>
        </w:tabs>
        <w:ind w:firstLine="709"/>
        <w:jc w:val="both"/>
        <w:rPr>
          <w:color w:val="000000" w:themeColor="text1"/>
          <w:sz w:val="28"/>
          <w:szCs w:val="28"/>
        </w:rPr>
      </w:pPr>
      <w:r w:rsidRPr="00512EC5">
        <w:rPr>
          <w:color w:val="000000" w:themeColor="text1"/>
          <w:sz w:val="28"/>
          <w:szCs w:val="28"/>
        </w:rPr>
        <w:t>2</w:t>
      </w:r>
      <w:r w:rsidR="007F4FD2">
        <w:rPr>
          <w:color w:val="000000" w:themeColor="text1"/>
          <w:sz w:val="28"/>
          <w:szCs w:val="28"/>
        </w:rPr>
        <w:t>)</w:t>
      </w:r>
      <w:r w:rsidRPr="00512EC5">
        <w:rPr>
          <w:color w:val="000000" w:themeColor="text1"/>
          <w:sz w:val="28"/>
          <w:szCs w:val="28"/>
        </w:rPr>
        <w:t xml:space="preserve">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12EC5" w:rsidRPr="00512EC5" w:rsidRDefault="007F4FD2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12EC5"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системы консультирования контролируемых лиц, в том числе с использованием современных информационно-телекоммуникационных технологий. - выявление причин, факторов и условий, способствующих возникновению рисков причинения вреда (ущерба) охраняемым законом ценностям в результате нарушения лицензионных требований, установленных жилищным законодательством, законодательством об энергосбережении и о повышении энергетической эффективности;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контролируемых лиц единого понимания лицензионных требований, нарушение которых влечет возникновение рисков причинения вреда (ущерба) охраняемым законом ценностям, повышение их информированности о способах соблюдения лицензионных требований и устранения рисков причинения вреда (ущерба) охраняемым законом ценностям;</w:t>
      </w:r>
    </w:p>
    <w:p w:rsidR="00512EC5" w:rsidRPr="00512EC5" w:rsidRDefault="007F4FD2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512EC5"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и внедрение новых форм взаимодействия с контролируемыми лицами;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F4F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профилактических мероприятий является приоритетным по отношению к проведению контрольных мероприятий.</w:t>
      </w:r>
    </w:p>
    <w:p w:rsidR="00512EC5" w:rsidRPr="00512EC5" w:rsidRDefault="00512EC5" w:rsidP="00512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3"/>
        <w:tabs>
          <w:tab w:val="left" w:pos="1276"/>
        </w:tabs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12EC5" w:rsidRPr="00512EC5" w:rsidRDefault="00512EC5" w:rsidP="00512EC5">
      <w:pPr>
        <w:pStyle w:val="-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профилактических мероприятий определяется в соответствии с главой 10 Федерального закона № 248-ФЗ включает в себя: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информирование;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обобщение правоприменительной практики;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объявление предостережения;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4) консультирование;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 профилактический визит;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Информирование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Инспекции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Инспекция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  <w:r w:rsidRPr="00512EC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</w:t>
      </w:r>
    </w:p>
    <w:p w:rsidR="00512EC5" w:rsidRPr="00512EC5" w:rsidRDefault="00512EC5" w:rsidP="00512EC5">
      <w:pPr>
        <w:tabs>
          <w:tab w:val="left" w:pos="426"/>
          <w:tab w:val="left" w:pos="709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тексты нормативных правовых актов, регулирующих осуществление лицензионного контроля;</w:t>
      </w:r>
    </w:p>
    <w:p w:rsidR="00512EC5" w:rsidRPr="00512EC5" w:rsidRDefault="00512EC5" w:rsidP="00512EC5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сведения об изменениях, внесенных в нормативные правовые акты, регулирующие осуществление лицензионного контроля о сроках их вступления в силу;  </w:t>
      </w: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  <w:t xml:space="preserve"> </w:t>
      </w:r>
    </w:p>
    <w:p w:rsidR="00512EC5" w:rsidRPr="00512EC5" w:rsidRDefault="00512EC5" w:rsidP="00512EC5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лицензионного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12EC5" w:rsidRPr="00512EC5" w:rsidRDefault="00512EC5" w:rsidP="00512EC5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512EC5" w:rsidRPr="00512EC5" w:rsidRDefault="00512EC5" w:rsidP="00512EC5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512EC5" w:rsidRPr="00512EC5" w:rsidRDefault="00512EC5" w:rsidP="00512EC5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перечень объектов контроля учитываемых в рамках формирования ежегодного плана контрольных мероприятий, с указанием категории риска;</w:t>
      </w:r>
    </w:p>
    <w:p w:rsidR="00512EC5" w:rsidRPr="00512EC5" w:rsidRDefault="00512EC5" w:rsidP="00512EC5">
      <w:pPr>
        <w:tabs>
          <w:tab w:val="left" w:pos="567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программу профилактики рисков причинения вреда и план проведения плановых контрольных мероприятий;</w:t>
      </w:r>
    </w:p>
    <w:p w:rsidR="00512EC5" w:rsidRPr="00512EC5" w:rsidRDefault="00512EC5" w:rsidP="00512EC5">
      <w:pPr>
        <w:tabs>
          <w:tab w:val="left" w:pos="567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  <w:t>исчерпывающий перечень сведений, которые могут запрашиваться у контролируемого лица;</w:t>
      </w:r>
    </w:p>
    <w:p w:rsidR="00512EC5" w:rsidRPr="00512EC5" w:rsidRDefault="00512EC5" w:rsidP="00512EC5">
      <w:pPr>
        <w:tabs>
          <w:tab w:val="left" w:pos="567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  <w:t>сведения о способах получения консультаций по вопросам соблюдения обязательных требований;</w:t>
      </w:r>
    </w:p>
    <w:p w:rsidR="00512EC5" w:rsidRPr="00512EC5" w:rsidRDefault="00512EC5" w:rsidP="00512EC5">
      <w:pPr>
        <w:tabs>
          <w:tab w:val="left" w:pos="567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  <w:t xml:space="preserve">сведения о применении мер стимулирования добросовестности контролируемых лиц;  </w:t>
      </w:r>
    </w:p>
    <w:p w:rsidR="00512EC5" w:rsidRPr="00512EC5" w:rsidRDefault="00512EC5" w:rsidP="00512EC5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сведения о порядке досудебного обжалования решений Инспекции, действий (бездействия) ее должностных лиц;</w:t>
      </w:r>
    </w:p>
    <w:p w:rsidR="00512EC5" w:rsidRPr="00512EC5" w:rsidRDefault="00512EC5" w:rsidP="00512EC5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доклады, содержащие результаты обобщения правоприменительной практики;</w:t>
      </w:r>
    </w:p>
    <w:p w:rsidR="00512EC5" w:rsidRPr="00512EC5" w:rsidRDefault="00512EC5" w:rsidP="00512EC5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доклады о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лицензионном контроле;</w:t>
      </w:r>
    </w:p>
    <w:p w:rsidR="00512EC5" w:rsidRPr="00512EC5" w:rsidRDefault="00512EC5" w:rsidP="00512EC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Обобщение правоприменительной практики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Обобщение правоприменительной практики проводится в соответствии со ст. 47 Федерального закона № 248-ФЗ.</w:t>
      </w:r>
    </w:p>
    <w:p w:rsidR="00512EC5" w:rsidRPr="00512EC5" w:rsidRDefault="00512EC5" w:rsidP="00512EC5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правоприменительной практики осуществляется для решения следующих задач:</w:t>
      </w:r>
    </w:p>
    <w:p w:rsidR="00512EC5" w:rsidRPr="00512EC5" w:rsidRDefault="00512EC5" w:rsidP="00512EC5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единообразных подходов к применению Инспекцией и ее должностными лицами обязательных требований, законодательства Российской Федерации о лицензионном контроле;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 охраняемым законом ценностям;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об актуализации обязательных требований;</w:t>
      </w:r>
    </w:p>
    <w:p w:rsidR="00512EC5" w:rsidRPr="00512EC5" w:rsidRDefault="00512EC5" w:rsidP="00512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512EC5" w:rsidRPr="00512EC5" w:rsidRDefault="00512EC5" w:rsidP="00512E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обобщения правоприменительной практики Инспекция осуществляет подготовку Доклада, </w:t>
      </w:r>
      <w:r w:rsidRPr="00512EC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содержащего результаты обобщения правоприменительной практики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по осуществлению лицензионного контроля и размещает его на официальном сайте Инспекции в информационно-телекоммуникационной сети «Интернет» (далее – сеть «Интернет») до 15 марта.</w:t>
      </w:r>
    </w:p>
    <w:p w:rsidR="00512EC5" w:rsidRPr="00512EC5" w:rsidRDefault="00512EC5" w:rsidP="00512E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Инспекция обеспечивает публичное обсуждение проекта доклада о правоприменительной практике. Результаты обобщения правоприменительной практики включаются в ежегодный доклад Инспекции о состоянии лицензионного контроля.  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Объявление предостережения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Консультирование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12E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Консультации предоставляются по обращениям контролируемых лиц и их представителей без взимания платы в устном или письменном виде, по вопросам:</w:t>
      </w:r>
    </w:p>
    <w:p w:rsidR="00512EC5" w:rsidRPr="00512EC5" w:rsidRDefault="00512EC5" w:rsidP="00512EC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организация и осуществление лицензионного контроля;</w:t>
      </w:r>
    </w:p>
    <w:p w:rsidR="00512EC5" w:rsidRPr="00512EC5" w:rsidRDefault="00512EC5" w:rsidP="00512EC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порядок осуществления профилактических, контрольных мероприятий;</w:t>
      </w:r>
    </w:p>
    <w:p w:rsidR="00512EC5" w:rsidRPr="00512EC5" w:rsidRDefault="00512EC5" w:rsidP="00512EC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эффективности. </w:t>
      </w:r>
    </w:p>
    <w:p w:rsidR="00512EC5" w:rsidRPr="00512EC5" w:rsidRDefault="00512EC5" w:rsidP="00512E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Консультация в устном виде может осуществляться по телефону, посредством </w:t>
      </w:r>
      <w:proofErr w:type="gramStart"/>
      <w:r w:rsidRPr="0051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видео-конференцсвязи</w:t>
      </w:r>
      <w:proofErr w:type="gramEnd"/>
      <w:r w:rsidRPr="0051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личном приеме либо в ходе проведения профилактического мероприятия.</w:t>
      </w:r>
    </w:p>
    <w:p w:rsidR="00512EC5" w:rsidRPr="00512EC5" w:rsidRDefault="00512EC5" w:rsidP="00512EC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Инспекция ведет учет консультирований.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Профилактический визит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2E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Обязательный профилактический визит проводится в отношении</w:t>
      </w:r>
      <w:r w:rsidRPr="00512EC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12EC5" w:rsidRPr="00512EC5" w:rsidRDefault="00512EC5" w:rsidP="00512EC5">
      <w:pPr>
        <w:pStyle w:val="a5"/>
        <w:ind w:left="0" w:firstLine="567"/>
        <w:jc w:val="both"/>
        <w:rPr>
          <w:color w:val="000000" w:themeColor="text1"/>
          <w:sz w:val="28"/>
          <w:szCs w:val="28"/>
        </w:rPr>
      </w:pPr>
      <w:r w:rsidRPr="00512EC5">
        <w:rPr>
          <w:color w:val="000000" w:themeColor="text1"/>
          <w:sz w:val="28"/>
          <w:szCs w:val="28"/>
        </w:rPr>
        <w:t>- объектов контроля, отнесенных к категориям высокого риска;</w:t>
      </w:r>
    </w:p>
    <w:p w:rsidR="00512EC5" w:rsidRPr="00512EC5" w:rsidRDefault="00512EC5" w:rsidP="00512EC5">
      <w:pPr>
        <w:pStyle w:val="a5"/>
        <w:ind w:left="0" w:firstLine="567"/>
        <w:jc w:val="both"/>
        <w:rPr>
          <w:color w:val="000000" w:themeColor="text1"/>
          <w:sz w:val="28"/>
          <w:szCs w:val="28"/>
        </w:rPr>
      </w:pPr>
      <w:r w:rsidRPr="00512EC5">
        <w:rPr>
          <w:color w:val="000000" w:themeColor="text1"/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домами.</w:t>
      </w:r>
    </w:p>
    <w:p w:rsidR="00512EC5" w:rsidRPr="00512EC5" w:rsidRDefault="00512EC5" w:rsidP="00512EC5">
      <w:pPr>
        <w:pStyle w:val="a5"/>
        <w:ind w:left="0" w:firstLine="56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t>Сроки проведения профилактического визита (в том числе обязательного профилактического визита): ежеквартально.</w:t>
      </w:r>
    </w:p>
    <w:p w:rsidR="00512EC5" w:rsidRPr="00512EC5" w:rsidRDefault="00512EC5" w:rsidP="00512EC5">
      <w:pPr>
        <w:pStyle w:val="-11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12EC5" w:rsidRPr="00512EC5" w:rsidRDefault="00512EC5" w:rsidP="00512EC5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12EC5" w:rsidRPr="00512EC5" w:rsidRDefault="00512EC5" w:rsidP="00512EC5">
      <w:pPr>
        <w:pStyle w:val="a6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программы профилактики оценивается:</w:t>
      </w:r>
    </w:p>
    <w:p w:rsidR="00512EC5" w:rsidRPr="00512EC5" w:rsidRDefault="00512EC5" w:rsidP="00512EC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1) повышением эффективности системы профилактики нарушений обязательных требований;</w:t>
      </w:r>
    </w:p>
    <w:p w:rsidR="00512EC5" w:rsidRPr="00512EC5" w:rsidRDefault="00512EC5" w:rsidP="00512EC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512EC5" w:rsidRPr="00512EC5" w:rsidRDefault="00512EC5" w:rsidP="00512EC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деятельности;</w:t>
      </w:r>
    </w:p>
    <w:p w:rsidR="00512EC5" w:rsidRPr="00512EC5" w:rsidRDefault="00512EC5" w:rsidP="00512EC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4) понятностью обязательных требований, обеспечивающей их однозначное толкование контролируемых лиц;</w:t>
      </w:r>
    </w:p>
    <w:p w:rsidR="00512EC5" w:rsidRPr="00512EC5" w:rsidRDefault="00512EC5" w:rsidP="00512EC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5) вовлечением контролируемых лиц в регулярное взаимодействие с Инспекцией.</w:t>
      </w:r>
    </w:p>
    <w:p w:rsidR="00512EC5" w:rsidRPr="00512EC5" w:rsidRDefault="00512EC5" w:rsidP="00512EC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качеством мероприятий, которые осуществляются, в том числе методами социологических исследований.</w:t>
      </w:r>
    </w:p>
    <w:p w:rsidR="00512EC5" w:rsidRPr="00512EC5" w:rsidRDefault="00512EC5" w:rsidP="00512EC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512EC5" w:rsidRPr="00512EC5" w:rsidRDefault="00512EC5" w:rsidP="00512E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показатели программы профилактики в рамках осуществления </w:t>
      </w:r>
      <w:r w:rsidRPr="00512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лицензионного контроля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7F4FD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 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3969"/>
        <w:gridCol w:w="2126"/>
      </w:tblGrid>
      <w:tr w:rsidR="002A18B9" w:rsidRPr="002A18B9" w:rsidTr="002A18B9">
        <w:tc>
          <w:tcPr>
            <w:tcW w:w="421" w:type="dxa"/>
          </w:tcPr>
          <w:p w:rsidR="002A18B9" w:rsidRPr="002A18B9" w:rsidRDefault="002A18B9" w:rsidP="00994E67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2A18B9" w:rsidRPr="002A18B9" w:rsidRDefault="002A18B9" w:rsidP="00994E67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</w:tcPr>
          <w:p w:rsidR="002A18B9" w:rsidRPr="002A18B9" w:rsidRDefault="002A18B9" w:rsidP="00994E67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Параметры расчета</w:t>
            </w:r>
          </w:p>
        </w:tc>
        <w:tc>
          <w:tcPr>
            <w:tcW w:w="2126" w:type="dxa"/>
          </w:tcPr>
          <w:p w:rsidR="002A18B9" w:rsidRPr="002A18B9" w:rsidRDefault="002A18B9" w:rsidP="00994E67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A18B9" w:rsidRPr="002A18B9" w:rsidTr="002A18B9">
        <w:tc>
          <w:tcPr>
            <w:tcW w:w="421" w:type="dxa"/>
          </w:tcPr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A18B9" w:rsidRPr="002A18B9" w:rsidRDefault="002A18B9" w:rsidP="00994E67">
            <w:pPr>
              <w:ind w:right="1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количества профилактических мероприятий к количеству проведенных надзорных мероприятий.</w:t>
            </w: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A18B9" w:rsidRPr="002A18B9" w:rsidRDefault="002A18B9" w:rsidP="00994E67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18B9" w:rsidRPr="002A18B9" w:rsidRDefault="002A18B9" w:rsidP="00994E67">
            <w:pPr>
              <w:ind w:left="34" w:right="1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= К/У*100%, </w:t>
            </w:r>
          </w:p>
          <w:p w:rsidR="002A18B9" w:rsidRPr="002A18B9" w:rsidRDefault="002A18B9" w:rsidP="00994E67">
            <w:pPr>
              <w:ind w:left="34" w:right="1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 В - расчетное значение показателя, </w:t>
            </w:r>
            <w:proofErr w:type="gramStart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проведенных за соответствующий календарный год профилактических мероприятий, У - количество проведенных за соответствующий календарный год надзорных мероприятий.</w:t>
            </w:r>
          </w:p>
          <w:p w:rsidR="002A18B9" w:rsidRPr="002A18B9" w:rsidRDefault="002A18B9" w:rsidP="0099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8B9" w:rsidRPr="002A18B9" w:rsidRDefault="002A18B9" w:rsidP="002A1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50% - 5 баллов, 30-50% - 3 балла, 10-29% - 1 балл, менее 10% - 0 баллов.</w:t>
            </w:r>
          </w:p>
          <w:p w:rsidR="002A18B9" w:rsidRPr="002A18B9" w:rsidRDefault="002A18B9" w:rsidP="0099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18B9" w:rsidRPr="002A18B9" w:rsidTr="002A18B9">
        <w:tc>
          <w:tcPr>
            <w:tcW w:w="421" w:type="dxa"/>
          </w:tcPr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поднадзорных лиц, охваченных профилактическими визитами. </w:t>
            </w:r>
          </w:p>
        </w:tc>
        <w:tc>
          <w:tcPr>
            <w:tcW w:w="3969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= К/У*100%, </w:t>
            </w:r>
          </w:p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 С - расчетное значение показателя, </w:t>
            </w:r>
            <w:proofErr w:type="gramStart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поднадзорных лиц, охваченных профилактическими визитами, У - общее количество всех поднадзорных лиц.</w:t>
            </w:r>
          </w:p>
          <w:p w:rsidR="002A18B9" w:rsidRPr="002A18B9" w:rsidRDefault="002A18B9" w:rsidP="0099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30% - 5 баллов, 15-30% - 3 балла, 5-14% - 1 балл, менее 5% - 0 баллов.</w:t>
            </w:r>
          </w:p>
          <w:p w:rsidR="002A18B9" w:rsidRPr="002A18B9" w:rsidRDefault="002A18B9" w:rsidP="0099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18B9" w:rsidRPr="002A18B9" w:rsidTr="002A18B9">
        <w:tc>
          <w:tcPr>
            <w:tcW w:w="421" w:type="dxa"/>
          </w:tcPr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количества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мероприятия, к общему количеству поднадзорных лиц, в отношении которых проведены надзорные мероприятия.</w:t>
            </w:r>
          </w:p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= К/У*100%,</w:t>
            </w:r>
          </w:p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Д - расчетное значение показателя, </w:t>
            </w:r>
            <w:proofErr w:type="gramStart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 в соответствующем календарном году, У - общее количество поднадзорных лиц, в отношении которых проведены надзорные мероприятия в соответствующем календарном году.</w:t>
            </w:r>
          </w:p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30% - 5 баллов, 15-30% - 3 балла, 5-14% - 1 балл, менее 5% - 0 баллов.</w:t>
            </w:r>
          </w:p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2A18B9" w:rsidRPr="002A18B9" w:rsidTr="002A18B9">
        <w:tc>
          <w:tcPr>
            <w:tcW w:w="421" w:type="dxa"/>
          </w:tcPr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количества устраненных нарушений обязательных требований, выявленных при проведении профилактических мероприятий, к общему количеству устраненных нарушений обязательных требований.</w:t>
            </w:r>
          </w:p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 = К/У*100%, </w:t>
            </w:r>
          </w:p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 Е - расчетное значение показателя, </w:t>
            </w:r>
            <w:proofErr w:type="gramStart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устраненных нарушений обязательных требований, выявленных при проведении профилактических мероприятий, У - общее количество устраненных нарушений обязательных требований.</w:t>
            </w:r>
          </w:p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более 30% - 5 баллов, 15-30% - 3 балла, 5-14% - 1 балл, менее 5% - 0 баллов.</w:t>
            </w:r>
          </w:p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2A18B9" w:rsidRPr="002A18B9" w:rsidTr="002A18B9">
        <w:tc>
          <w:tcPr>
            <w:tcW w:w="421" w:type="dxa"/>
          </w:tcPr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профилактических визитов в отношении поднадзорных лиц с количеством проведенных выездных проверок поднадзорных лиц за соответствующий календарный год.</w:t>
            </w:r>
          </w:p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=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/У*100%, </w:t>
            </w:r>
          </w:p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 Н - расчетное значение показателя, </w:t>
            </w:r>
            <w:proofErr w:type="gramStart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поднадзорных лиц, охваченных профилактическими визитами, У - общее количество проведенных выездных проверок.</w:t>
            </w:r>
          </w:p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18B9" w:rsidRPr="002A18B9" w:rsidRDefault="002A18B9" w:rsidP="0099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30% - 5 баллов, 15-30% - 3 балла, 5-14% - 1 балл, менее 5% - 0 баллов.</w:t>
            </w:r>
          </w:p>
          <w:p w:rsidR="002A18B9" w:rsidRPr="002A18B9" w:rsidRDefault="002A18B9" w:rsidP="00994E67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512EC5" w:rsidRPr="00512EC5" w:rsidRDefault="00512EC5" w:rsidP="00512E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2A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Программа профилактики считается успешно реализованной при значении суммарного показателя эффективности 20-25 баллов.</w:t>
      </w: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512EC5" w:rsidRPr="00512EC5" w:rsidRDefault="00512EC5" w:rsidP="00512EC5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512EC5" w:rsidRPr="00512EC5" w:rsidSect="00773B5F">
          <w:pgSz w:w="11906" w:h="16838"/>
          <w:pgMar w:top="851" w:right="850" w:bottom="1134" w:left="1418" w:header="709" w:footer="709" w:gutter="0"/>
          <w:pgNumType w:start="3"/>
          <w:cols w:space="708"/>
          <w:titlePg/>
          <w:docGrid w:linePitch="360"/>
        </w:sectPr>
      </w:pPr>
    </w:p>
    <w:p w:rsidR="00512EC5" w:rsidRPr="00512EC5" w:rsidRDefault="00512EC5" w:rsidP="00512E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512EC5" w:rsidRPr="00512EC5" w:rsidRDefault="00512EC5" w:rsidP="00512E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C5" w:rsidRPr="00512EC5" w:rsidRDefault="00512EC5" w:rsidP="00512E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План-график</w:t>
      </w:r>
    </w:p>
    <w:p w:rsidR="00512EC5" w:rsidRPr="00512EC5" w:rsidRDefault="00512EC5" w:rsidP="00512E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профилактических мероприятий ГЖИ Камчатского края,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регионального лицензионного контроля на 202</w:t>
      </w:r>
      <w:r w:rsidR="002A18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512EC5" w:rsidRPr="00512EC5" w:rsidRDefault="00512EC5" w:rsidP="00512E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13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4747"/>
        <w:gridCol w:w="2179"/>
        <w:gridCol w:w="2552"/>
        <w:gridCol w:w="1559"/>
        <w:gridCol w:w="1862"/>
      </w:tblGrid>
      <w:tr w:rsidR="00512EC5" w:rsidRPr="00512EC5" w:rsidTr="00994E67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Адресаты мероприятий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подразделения</w:t>
            </w:r>
          </w:p>
        </w:tc>
      </w:tr>
      <w:tr w:rsidR="00512EC5" w:rsidRPr="00512EC5" w:rsidTr="00994E67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и размещение на официальном сайте Инспекции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принятия или внесения изменений (ежемесячно)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Советующий раздел на сайте Инспекции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лицензирования, правовой и аналитической деятельности</w:t>
            </w:r>
          </w:p>
        </w:tc>
      </w:tr>
      <w:tr w:rsidR="00512EC5" w:rsidRPr="00512EC5" w:rsidTr="00994E67">
        <w:trPr>
          <w:trHeight w:val="178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Инспекции.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лицензирования, правовой и аналитической деятельности  </w:t>
            </w:r>
          </w:p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EC5" w:rsidRPr="00512EC5" w:rsidTr="00994E6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контролируемых лиц путем подготовки и размещения на официальном сайте Инспекции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лицензирования, правовой и аналитической деятельности</w:t>
            </w:r>
          </w:p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EC5" w:rsidRPr="00512EC5" w:rsidTr="00994E6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 размещение на официальном сайте Инспекции Доклада о правоприменительной практике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EC5" w:rsidRPr="00512EC5" w:rsidRDefault="00512EC5" w:rsidP="002A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15.03.202</w:t>
            </w:r>
            <w:r w:rsidR="002A1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лицензирования, правовой и аналитической деятельности</w:t>
            </w:r>
          </w:p>
        </w:tc>
      </w:tr>
      <w:tr w:rsidR="00512EC5" w:rsidRPr="00512EC5" w:rsidTr="00994E67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Выдача предостережений о недопустимости 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Минимизация возможных рисков нарушений 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отделы </w:t>
            </w:r>
          </w:p>
        </w:tc>
      </w:tr>
      <w:tr w:rsidR="00512EC5" w:rsidRPr="00512EC5" w:rsidTr="00994E67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отделы</w:t>
            </w:r>
          </w:p>
        </w:tc>
      </w:tr>
      <w:tr w:rsidR="00512EC5" w:rsidRPr="00512EC5" w:rsidTr="00994E67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контролируемых лиц по вопросам соблюдения обязательных требований на семинарах (</w:t>
            </w:r>
            <w:proofErr w:type="spellStart"/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EC5" w:rsidRPr="00512EC5" w:rsidTr="00994E67">
        <w:trPr>
          <w:trHeight w:val="321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3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 управления МКД, а также в отношении объектов контроля, отнесенных к категориям высокого риска.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</w:rPr>
              <w:t>Отдел жилищного надзора и лицензионного контроля, Отдел надзора за деятельностью ТСЖ, управляющих организаций, региональных операторов за формированием фонда капитального ремонта</w:t>
            </w:r>
          </w:p>
        </w:tc>
      </w:tr>
      <w:tr w:rsidR="00512EC5" w:rsidRPr="00512EC5" w:rsidTr="00994E67"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389" w:type="dxa"/>
            <w:tcBorders>
              <w:left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Иное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страниц в социальных сетях и поддержание их в актуальном состоянии.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12EC5" w:rsidRPr="00512EC5" w:rsidRDefault="00512EC5" w:rsidP="0099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исполнители </w:t>
            </w:r>
          </w:p>
        </w:tc>
      </w:tr>
    </w:tbl>
    <w:p w:rsidR="00512EC5" w:rsidRPr="00512EC5" w:rsidRDefault="00512EC5" w:rsidP="00512EC5">
      <w:pPr>
        <w:tabs>
          <w:tab w:val="left" w:pos="9088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2F97" w:rsidRPr="00512EC5" w:rsidRDefault="00A52F97">
      <w:pPr>
        <w:rPr>
          <w:color w:val="000000" w:themeColor="text1"/>
        </w:rPr>
      </w:pPr>
    </w:p>
    <w:sectPr w:rsidR="00A52F97" w:rsidRPr="00512EC5" w:rsidSect="00C0228C">
      <w:headerReference w:type="default" r:id="rId6"/>
      <w:pgSz w:w="16800" w:h="11900" w:orient="landscape"/>
      <w:pgMar w:top="709" w:right="1134" w:bottom="426" w:left="1134" w:header="426" w:footer="720" w:gutter="0"/>
      <w:pgNumType w:start="1" w:chapStyle="1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123081"/>
      <w:docPartObj>
        <w:docPartGallery w:val="Page Numbers (Top of Page)"/>
        <w:docPartUnique/>
      </w:docPartObj>
    </w:sdtPr>
    <w:sdtEndPr/>
    <w:sdtContent>
      <w:p w:rsidR="00C12D7E" w:rsidRDefault="003A04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12D7E" w:rsidRDefault="003A04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7B07"/>
    <w:multiLevelType w:val="multilevel"/>
    <w:tmpl w:val="128CD498"/>
    <w:lvl w:ilvl="0">
      <w:start w:val="1"/>
      <w:numFmt w:val="decimal"/>
      <w:lvlText w:val="%1."/>
      <w:lvlJc w:val="left"/>
      <w:pPr>
        <w:ind w:left="6341" w:hanging="1095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891" w:hanging="720"/>
      </w:pPr>
    </w:lvl>
    <w:lvl w:ilvl="3">
      <w:start w:val="1"/>
      <w:numFmt w:val="decimal"/>
      <w:isLgl/>
      <w:lvlText w:val="%1.%2.%3.%4."/>
      <w:lvlJc w:val="left"/>
      <w:pPr>
        <w:ind w:left="3982" w:hanging="1080"/>
      </w:pPr>
    </w:lvl>
    <w:lvl w:ilvl="4">
      <w:start w:val="1"/>
      <w:numFmt w:val="decimal"/>
      <w:isLgl/>
      <w:lvlText w:val="%1.%2.%3.%4.%5."/>
      <w:lvlJc w:val="left"/>
      <w:pPr>
        <w:ind w:left="4713" w:hanging="1080"/>
      </w:pPr>
    </w:lvl>
    <w:lvl w:ilvl="5">
      <w:start w:val="1"/>
      <w:numFmt w:val="decimal"/>
      <w:isLgl/>
      <w:lvlText w:val="%1.%2.%3.%4.%5.%6."/>
      <w:lvlJc w:val="left"/>
      <w:pPr>
        <w:ind w:left="5804" w:hanging="1440"/>
      </w:pPr>
    </w:lvl>
    <w:lvl w:ilvl="6">
      <w:start w:val="1"/>
      <w:numFmt w:val="decimal"/>
      <w:isLgl/>
      <w:lvlText w:val="%1.%2.%3.%4.%5.%6.%7."/>
      <w:lvlJc w:val="left"/>
      <w:pPr>
        <w:ind w:left="6895" w:hanging="1800"/>
      </w:p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BA"/>
    <w:rsid w:val="000334BA"/>
    <w:rsid w:val="002A18B9"/>
    <w:rsid w:val="003A04A4"/>
    <w:rsid w:val="00512EC5"/>
    <w:rsid w:val="00717E3E"/>
    <w:rsid w:val="00773B5F"/>
    <w:rsid w:val="007F4FD2"/>
    <w:rsid w:val="00A52F97"/>
    <w:rsid w:val="00F303DB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98C3-BCB0-4929-B177-DF963F2D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C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12E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styleId="a3">
    <w:name w:val="header"/>
    <w:basedOn w:val="a"/>
    <w:link w:val="a4"/>
    <w:uiPriority w:val="99"/>
    <w:unhideWhenUsed/>
    <w:rsid w:val="00512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12EC5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512EC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6">
    <w:name w:val="Body Text"/>
    <w:basedOn w:val="a"/>
    <w:link w:val="a7"/>
    <w:uiPriority w:val="99"/>
    <w:semiHidden/>
    <w:unhideWhenUsed/>
    <w:rsid w:val="00512EC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12EC5"/>
  </w:style>
  <w:style w:type="paragraph" w:customStyle="1" w:styleId="TableParagraph">
    <w:name w:val="Table Paragraph"/>
    <w:basedOn w:val="a"/>
    <w:uiPriority w:val="1"/>
    <w:qFormat/>
    <w:rsid w:val="00512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-11">
    <w:name w:val="Цветной список - Акцент 11"/>
    <w:basedOn w:val="a"/>
    <w:uiPriority w:val="34"/>
    <w:qFormat/>
    <w:rsid w:val="00512E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2A18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A1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2A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4385</Words>
  <Characters>24995</Characters>
  <Application>Microsoft Office Word</Application>
  <DocSecurity>0</DocSecurity>
  <Lines>208</Lines>
  <Paragraphs>58</Paragraphs>
  <ScaleCrop>false</ScaleCrop>
  <Company/>
  <LinksUpToDate>false</LinksUpToDate>
  <CharactersWithSpaces>29322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Павлова Алёна Витальевна</cp:lastModifiedBy>
  <cp:revision>9</cp:revision>
  <dcterms:created xsi:type="dcterms:W3CDTF">2022-09-22T23:52:00Z</dcterms:created>
  <dcterms:modified xsi:type="dcterms:W3CDTF">2022-09-23T00:40:00Z</dcterms:modified>
</cp:coreProperties>
</file>