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ГОСУДАРСТВЕННАЯ ЖИЛИЩНАЯ ИНСПЕКЦИЯ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-5"/>
        <w:tblLayout w:type="fixed"/>
      </w:tblPr>
      <w:tblGrid>
        <w:gridCol w:w="4248"/>
      </w:tblGrid>
      <w:tr>
        <w:trPr>
          <w:trHeight w:hRule="atLeast" w:val="261"/>
        </w:trPr>
        <w:tc>
          <w:tcPr>
            <w:tcW w:type="dxa" w:w="4248"/>
          </w:tcPr>
          <w:p w14:paraId="10000000">
            <w:pPr>
              <w:spacing w:after="60"/>
              <w:ind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</w:rPr>
              <w:t>ата регистрации] № [Номер документа]</w:t>
            </w:r>
            <w:bookmarkEnd w:id="1"/>
          </w:p>
        </w:tc>
      </w:tr>
    </w:tbl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ind/>
              <w:jc w:val="both"/>
              <w:rPr>
                <w:rFonts w:ascii="Times New Roman" w:hAnsi="Times New Roman"/>
                <w:spacing w:val="1"/>
              </w:rPr>
            </w:pPr>
          </w:p>
        </w:tc>
      </w:tr>
    </w:tbl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 xml:space="preserve">Программы </w:t>
      </w:r>
      <w:r>
        <w:rPr>
          <w:rFonts w:ascii="Times New Roman" w:hAnsi="Times New Roman"/>
          <w:b w:val="1"/>
          <w:sz w:val="28"/>
        </w:rPr>
        <w:t>профилактики рисков причинения вреда (ущерба) охраняемым законом ценностям при осуществлении регионально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государственно</w:t>
      </w:r>
      <w:r>
        <w:rPr>
          <w:rFonts w:ascii="Times New Roman" w:hAnsi="Times New Roman"/>
          <w:b w:val="1"/>
          <w:sz w:val="28"/>
        </w:rPr>
        <w:t xml:space="preserve">го лицензионного контроля </w:t>
      </w:r>
      <w:r>
        <w:rPr>
          <w:rFonts w:ascii="Times New Roman" w:hAnsi="Times New Roman"/>
          <w:b w:val="1"/>
          <w:sz w:val="28"/>
        </w:rPr>
        <w:t xml:space="preserve">за осуществлением предпринимательской деятельности по управлению многоквартирными домами </w:t>
      </w: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>
        <w:rPr>
          <w:rFonts w:ascii="Times New Roman" w:hAnsi="Times New Roman"/>
          <w:sz w:val="28"/>
        </w:rPr>
        <w:t xml:space="preserve">охраняемым законом ценностям», </w:t>
      </w:r>
      <w:r>
        <w:rPr>
          <w:rFonts w:ascii="Times New Roman" w:hAnsi="Times New Roman"/>
          <w:sz w:val="28"/>
        </w:rPr>
        <w:t>в целях предупреждения нарушения юридическими лицами, индивидуальными предпринимателями, осуществляющими предпринимательскую деятельность по управлению многоквартирными домами, лицензионных требований, соблюдение которых оценивается Государственной жилищ</w:t>
      </w:r>
      <w:r>
        <w:rPr>
          <w:rFonts w:ascii="Times New Roman" w:hAnsi="Times New Roman"/>
          <w:sz w:val="28"/>
        </w:rPr>
        <w:t>ной инспекцией Камчатского края</w:t>
      </w:r>
      <w:r>
        <w:rPr>
          <w:rFonts w:ascii="Times New Roman" w:hAnsi="Times New Roman"/>
          <w:sz w:val="28"/>
        </w:rPr>
        <w:t xml:space="preserve"> (далее – Инспекция)</w:t>
      </w:r>
      <w:r>
        <w:rPr>
          <w:rFonts w:ascii="Times New Roman" w:hAnsi="Times New Roman"/>
          <w:sz w:val="28"/>
        </w:rPr>
        <w:t xml:space="preserve">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края, устранения причин, факторов и условий, способствующих нарушению лицензионных требований</w:t>
      </w:r>
      <w:r>
        <w:rPr>
          <w:rFonts w:ascii="Times New Roman" w:hAnsi="Times New Roman"/>
          <w:sz w:val="28"/>
        </w:rPr>
        <w:t>,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му </w:t>
      </w:r>
      <w:r>
        <w:rPr>
          <w:rFonts w:ascii="Times New Roman" w:hAnsi="Times New Roman"/>
          <w:sz w:val="28"/>
        </w:rPr>
        <w:t>профилактики рисков причинения вреда (ущерба) охраняемым законом ценностям при осуществлении регионально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государственно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лицензионно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осуществлением предпринимательской деятельности по управлению многоквартирными домами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Программа)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B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структурных подразд</w:t>
      </w:r>
      <w:r>
        <w:rPr>
          <w:rFonts w:ascii="Times New Roman" w:hAnsi="Times New Roman"/>
          <w:sz w:val="28"/>
        </w:rPr>
        <w:t xml:space="preserve">елений </w:t>
      </w:r>
      <w:r>
        <w:rPr>
          <w:rFonts w:ascii="Times New Roman" w:hAnsi="Times New Roman"/>
          <w:sz w:val="28"/>
        </w:rPr>
        <w:t xml:space="preserve">Инспекции обеспечить </w:t>
      </w:r>
      <w:r>
        <w:rPr>
          <w:rFonts w:ascii="Times New Roman" w:hAnsi="Times New Roman"/>
          <w:sz w:val="28"/>
        </w:rPr>
        <w:t>своевременное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полное выполнение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14:paraId="1C000000">
      <w:pPr>
        <w:tabs>
          <w:tab w:leader="none" w:pos="1134" w:val="left"/>
        </w:tabs>
        <w:spacing w:after="0" w:line="240" w:lineRule="auto"/>
        <w:ind w:firstLine="1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D000000">
      <w:pPr>
        <w:spacing w:after="0" w:line="240" w:lineRule="auto"/>
        <w:ind w:firstLine="1" w:left="708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1" w:left="708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1" w:left="708"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347"/>
        <w:gridCol w:w="4469"/>
        <w:gridCol w:w="1821"/>
      </w:tblGrid>
      <w:tr>
        <w:trPr>
          <w:trHeight w:hRule="atLeast" w:val="665"/>
        </w:trPr>
        <w:tc>
          <w:tcPr>
            <w:tcW w:type="dxa" w:w="33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Инспекции –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государственный</w:t>
            </w:r>
          </w:p>
          <w:p w14:paraId="22000000">
            <w:pPr>
              <w:spacing w:after="0" w:line="240" w:lineRule="auto"/>
              <w:ind w:hanging="4" w:left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жилищный инспектор</w:t>
            </w:r>
          </w:p>
          <w:p w14:paraId="23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44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1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Суколин</w:t>
            </w:r>
          </w:p>
        </w:tc>
      </w:tr>
    </w:tbl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>
      <w:pPr>
        <w:spacing w:line="264" w:lineRule="auto"/>
        <w:ind/>
      </w:pPr>
    </w:p>
    <w:p w14:paraId="31000000">
      <w:pPr>
        <w:spacing w:line="264" w:lineRule="auto"/>
        <w:ind/>
      </w:pPr>
    </w:p>
    <w:p w14:paraId="32000000">
      <w:pPr>
        <w:spacing w:line="264" w:lineRule="auto"/>
        <w:ind/>
      </w:pPr>
    </w:p>
    <w:p w14:paraId="33000000">
      <w:pPr>
        <w:spacing w:line="264" w:lineRule="auto"/>
        <w:ind/>
      </w:pPr>
    </w:p>
    <w:p w14:paraId="34000000">
      <w:pPr>
        <w:spacing w:line="264" w:lineRule="auto"/>
        <w:ind/>
      </w:pPr>
    </w:p>
    <w:p w14:paraId="35000000">
      <w:pPr>
        <w:spacing w:line="264" w:lineRule="auto"/>
        <w:ind/>
      </w:pPr>
    </w:p>
    <w:p w14:paraId="36000000">
      <w:pPr>
        <w:spacing w:line="264" w:lineRule="auto"/>
        <w:ind/>
      </w:pPr>
    </w:p>
    <w:p w14:paraId="37000000">
      <w:pPr>
        <w:spacing w:line="264" w:lineRule="auto"/>
        <w:ind/>
      </w:pPr>
    </w:p>
    <w:p w14:paraId="38000000">
      <w:pPr>
        <w:spacing w:line="264" w:lineRule="auto"/>
        <w:ind/>
      </w:pPr>
    </w:p>
    <w:p w14:paraId="39000000">
      <w:pPr>
        <w:spacing w:line="264" w:lineRule="auto"/>
        <w:ind/>
      </w:pPr>
    </w:p>
    <w:p w14:paraId="3A000000">
      <w:pPr>
        <w:spacing w:line="264" w:lineRule="auto"/>
        <w:ind/>
      </w:pPr>
    </w:p>
    <w:p w14:paraId="3B000000">
      <w:pPr>
        <w:spacing w:line="264" w:lineRule="auto"/>
        <w:ind/>
      </w:pPr>
      <w:r>
        <w:br w:type="page"/>
      </w:r>
    </w:p>
    <w:p w14:paraId="3C000000">
      <w:pPr>
        <w:pStyle w:val="Style_5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3D000000">
      <w:pPr>
        <w:pStyle w:val="Style_5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жилищной инспекции</w:t>
      </w:r>
    </w:p>
    <w:p w14:paraId="3E000000">
      <w:pPr>
        <w:pStyle w:val="Style_5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6"/>
        <w:tblInd w:type="dxa" w:w="538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67"/>
        <w:gridCol w:w="1701"/>
        <w:gridCol w:w="425"/>
        <w:gridCol w:w="1552"/>
      </w:tblGrid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spacing w:after="60" w:line="264" w:lineRule="auto"/>
              <w:ind/>
              <w:rPr>
                <w:rFonts w:ascii="Times New Roman" w:hAnsi="Times New Roman"/>
                <w:color w:themeColor="background1" w:val="FFFFFF"/>
                <w:sz w:val="16"/>
              </w:rPr>
            </w:pPr>
            <w:r>
              <w:rPr>
                <w:rFonts w:ascii="Times New Roman" w:hAnsi="Times New Roman"/>
                <w:color w:themeColor="background1" w:val="FFFFFF"/>
                <w:sz w:val="16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REGDATESTAMP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1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2000000">
            <w:pPr>
              <w:spacing w:after="60" w:line="264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themeColor="background1" w:val="FFFFFF"/>
                <w:sz w:val="16"/>
              </w:rPr>
              <w:t>[REGNUMSTAMP]</w:t>
            </w:r>
          </w:p>
        </w:tc>
      </w:tr>
    </w:tbl>
    <w:p w14:paraId="43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Программа</w:t>
      </w:r>
    </w:p>
    <w:p w14:paraId="44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профилактики рисков причинения вреда (ущерба) охраняемым законом ценностям при осуществлении регионального государственного лицензионного контроля за осуществлением предпринимательской деятельности по управлению</w:t>
      </w:r>
      <w:r>
        <w:rPr>
          <w:rFonts w:ascii="Times New Roman" w:hAnsi="Times New Roman"/>
          <w:color w:val="000000"/>
          <w:spacing w:val="2"/>
          <w:sz w:val="28"/>
        </w:rPr>
        <w:t xml:space="preserve"> многоквартирными домами на 202</w:t>
      </w:r>
      <w:r>
        <w:rPr>
          <w:rFonts w:ascii="Times New Roman" w:hAnsi="Times New Roman"/>
          <w:color w:val="000000"/>
          <w:spacing w:val="2"/>
          <w:sz w:val="28"/>
        </w:rPr>
        <w:t>5</w:t>
      </w:r>
      <w:r>
        <w:rPr>
          <w:rFonts w:ascii="Times New Roman" w:hAnsi="Times New Roman"/>
          <w:color w:val="000000"/>
          <w:spacing w:val="2"/>
          <w:sz w:val="28"/>
        </w:rPr>
        <w:t xml:space="preserve"> год</w:t>
      </w:r>
    </w:p>
    <w:p w14:paraId="45000000">
      <w:pPr>
        <w:widowControl w:val="0"/>
        <w:spacing w:after="0" w:line="240" w:lineRule="auto"/>
        <w:ind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</w:p>
    <w:tbl>
      <w:tblPr>
        <w:tblStyle w:val="Style_4"/>
        <w:tblInd w:type="dxa" w:w="13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2693"/>
        <w:gridCol w:w="6663"/>
      </w:tblGrid>
      <w:tr>
        <w:trPr>
          <w:trHeight w:hRule="atLeast" w:val="551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00000">
            <w:pPr>
              <w:widowControl w:val="0"/>
              <w:tabs>
                <w:tab w:leader="none" w:pos="885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>
              <w:rPr>
                <w:rFonts w:ascii="Times New Roman" w:hAnsi="Times New Roman"/>
                <w:sz w:val="28"/>
              </w:rPr>
              <w:t xml:space="preserve"> профилактики рисков причинения вреда (ущерба) охраняемым законом ценностям при осуществлении регионального государственного лицензионного контроля за осуществлением предпринимательской деятельности по управлению</w:t>
            </w:r>
            <w:r>
              <w:rPr>
                <w:rFonts w:ascii="Times New Roman" w:hAnsi="Times New Roman"/>
                <w:sz w:val="28"/>
              </w:rPr>
              <w:t xml:space="preserve"> многоквартирными домами на 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>(далее – Программа профилактики)</w:t>
            </w:r>
          </w:p>
        </w:tc>
      </w:tr>
      <w:tr>
        <w:trPr>
          <w:trHeight w:hRule="atLeast" w:val="1657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Правовые основания разработки Программы 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00000">
            <w:pPr>
              <w:widowControl w:val="0"/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закон от 31.07.2020 № 248-ФЗ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«О государственном контроле (надзоре) и муниципальном контроле в Российской Федерации» (далее – Федеральный закон № 248-ФЗ), постановление Правительства Росс</w:t>
            </w:r>
            <w:r>
              <w:rPr>
                <w:rFonts w:ascii="Times New Roman" w:hAnsi="Times New Roman"/>
                <w:sz w:val="28"/>
              </w:rPr>
              <w:t xml:space="preserve">ийской Федерации от 25.06.2021 </w:t>
            </w:r>
            <w:r>
              <w:rPr>
                <w:rFonts w:ascii="Times New Roman" w:hAnsi="Times New Roman"/>
                <w:sz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hRule="atLeast" w:val="275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 Программы 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B000000">
            <w:pPr>
              <w:widowControl w:val="0"/>
              <w:spacing w:after="0" w:line="240" w:lineRule="auto"/>
              <w:ind w:hanging="3" w:left="145" w:righ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жилищная инспекция Камчатского края (далее – Инспекция)</w:t>
            </w:r>
          </w:p>
        </w:tc>
      </w:tr>
      <w:tr>
        <w:trPr>
          <w:trHeight w:hRule="atLeast" w:val="399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Программы 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00000">
            <w:pPr>
              <w:widowControl w:val="0"/>
              <w:tabs>
                <w:tab w:leader="none" w:pos="141" w:val="left"/>
                <w:tab w:leader="none" w:pos="286" w:val="left"/>
                <w:tab w:leader="none" w:pos="427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Предупреждение и предотвращение возникновения рисков причинения вреда (ущерба) охраняемым законом ценностям вследствие нарушения лицензионных требований законодательства при осуществлении предпринимательской деятельности по управлению многоквартирными домами.</w:t>
            </w:r>
          </w:p>
          <w:p w14:paraId="4E000000">
            <w:pPr>
              <w:widowControl w:val="0"/>
              <w:tabs>
                <w:tab w:leader="none" w:pos="145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</w:t>
            </w:r>
            <w:r>
              <w:rPr>
                <w:rFonts w:ascii="Times New Roman" w:hAnsi="Times New Roman"/>
                <w:sz w:val="28"/>
              </w:rPr>
              <w:t xml:space="preserve">тимулирование добросовестного соблюдения обязательных требований всеми </w:t>
            </w:r>
            <w:r>
              <w:rPr>
                <w:rFonts w:ascii="Times New Roman" w:hAnsi="Times New Roman"/>
                <w:sz w:val="28"/>
              </w:rPr>
              <w:t xml:space="preserve">юридическими лицами, индивидуальными предпринимателями, осуществляющими предпринимательскую деятельность по управлению многоквартирными </w:t>
            </w:r>
            <w:r>
              <w:rPr>
                <w:rFonts w:ascii="Times New Roman" w:hAnsi="Times New Roman"/>
                <w:sz w:val="28"/>
              </w:rPr>
              <w:t>домами</w:t>
            </w:r>
            <w:r>
              <w:rPr>
                <w:rFonts w:ascii="Times New Roman" w:hAnsi="Times New Roman"/>
                <w:sz w:val="28"/>
              </w:rPr>
              <w:t xml:space="preserve"> на основании лицензии (далее – контролируемые лица).</w:t>
            </w:r>
          </w:p>
          <w:p w14:paraId="4F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bookmarkStart w:id="3" w:name="sub_440102"/>
            <w:r>
              <w:rPr>
                <w:rFonts w:ascii="Times New Roman" w:hAnsi="Times New Roman"/>
                <w:sz w:val="28"/>
              </w:rPr>
              <w:t>3</w:t>
            </w:r>
            <w:bookmarkStart w:id="4" w:name="sub_440103"/>
            <w:bookmarkEnd w:id="3"/>
            <w:r>
              <w:rPr>
                <w:rFonts w:ascii="Times New Roman" w:hAnsi="Times New Roman"/>
                <w:sz w:val="28"/>
              </w:rPr>
              <w:t>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bookmarkEnd w:id="4"/>
          </w:p>
          <w:p w14:paraId="50000000">
            <w:pPr>
              <w:widowControl w:val="0"/>
              <w:tabs>
                <w:tab w:leader="none" w:pos="399" w:val="left"/>
                <w:tab w:leader="none" w:pos="676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Повышение прозрачности деятельности Инспекции при осуществлении </w:t>
            </w:r>
            <w:r>
              <w:rPr>
                <w:rFonts w:ascii="Times New Roman" w:hAnsi="Times New Roman"/>
                <w:sz w:val="28"/>
              </w:rPr>
              <w:t xml:space="preserve">регионального государственного лицензионного контроля за осуществлением предпринимательской деятельности по управлению многоквартирными домами </w:t>
            </w:r>
            <w:r>
              <w:rPr>
                <w:rFonts w:ascii="Times New Roman" w:hAnsi="Times New Roman"/>
                <w:sz w:val="28"/>
              </w:rPr>
              <w:t>(далее – лицензионный контроль)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1000000">
            <w:pPr>
              <w:widowControl w:val="0"/>
              <w:tabs>
                <w:tab w:leader="none" w:pos="145" w:val="left"/>
                <w:tab w:leader="none" w:pos="421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Снижение административной нагрузки на контролируемых лиц.</w:t>
            </w:r>
          </w:p>
          <w:p w14:paraId="52000000">
            <w:pPr>
              <w:widowControl w:val="0"/>
              <w:tabs>
                <w:tab w:leader="none" w:pos="502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3000000">
            <w:pPr>
              <w:widowControl w:val="0"/>
              <w:tabs>
                <w:tab w:leader="none" w:pos="502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Устранение существующих и потенциальных причин и условий, способствующих нарушению лицензионных требований и возникновению рисков причинения вреда (ущерба) охраняемым законом ценностям в сфере осуществления предпринимательской деятельности по управлению многоквартирными домами.</w:t>
            </w:r>
          </w:p>
          <w:p w14:paraId="54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Повышение эффективности и результативности осуществления лицензионного контроля.</w:t>
            </w:r>
          </w:p>
        </w:tc>
      </w:tr>
      <w:tr>
        <w:trPr>
          <w:trHeight w:hRule="atLeast" w:val="399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 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Выявление причин, факторов и условий, способствующих нарушению обязательных требований в сфере осуществления лицензионного контроля.</w:t>
            </w:r>
          </w:p>
          <w:p w14:paraId="57000000">
            <w:pPr>
              <w:widowControl w:val="0"/>
              <w:tabs>
                <w:tab w:leader="none" w:pos="387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58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14:paraId="59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Выявление причин, факторов и условий, способствующих возникновению рисков причинения вреда (ущерба) охраняемым законом ценностям в результате нарушения лицензионных требований, </w:t>
            </w:r>
            <w:r>
              <w:rPr>
                <w:rFonts w:ascii="Times New Roman" w:hAnsi="Times New Roman"/>
                <w:sz w:val="28"/>
              </w:rPr>
              <w:t>установленных жилищным законодательством, законодательством об энергосбережении и о повышении энергетической эффективности.</w:t>
            </w:r>
          </w:p>
          <w:p w14:paraId="5A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Формирование у контролируемых лиц единого понимания лицензионных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лицензионных требований и устранения рисков причинения вреда (ущерба) охраняемым законом ценностям.</w:t>
            </w:r>
          </w:p>
          <w:p w14:paraId="5B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Формирование и внедрение новых форм взаимодействия с контролируемыми лицами.</w:t>
            </w:r>
          </w:p>
          <w:p w14:paraId="5C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      </w:r>
          </w:p>
        </w:tc>
      </w:tr>
      <w:tr>
        <w:trPr>
          <w:trHeight w:hRule="atLeast" w:val="693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и этапы реализации Программы 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 w:hanging="3" w:left="1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  <w:p w14:paraId="5F000000">
            <w:pPr>
              <w:spacing w:after="0" w:line="240" w:lineRule="auto"/>
              <w:ind w:hanging="3" w:left="14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8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Реализация Программы профилактики осуществляется Инспекцией за счет средств бюджета Камчатского края, выделяемых на обеспечение ее деятельности, привлечение иных кадровых, материальных и финансовых ресурсов не требуется.</w:t>
            </w:r>
          </w:p>
        </w:tc>
      </w:tr>
      <w:tr>
        <w:trPr>
          <w:trHeight w:hRule="atLeast" w:val="418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Снижение рисков причинения вреда охраняемым законом ценностям.</w:t>
            </w:r>
          </w:p>
          <w:p w14:paraId="64000000">
            <w:pPr>
              <w:tabs>
                <w:tab w:leader="none" w:pos="568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Увеличение доли законопослушных контролируемых лиц – развитие системы профилактических мероприятий </w:t>
            </w:r>
            <w:r>
              <w:rPr>
                <w:rFonts w:ascii="Times New Roman" w:hAnsi="Times New Roman"/>
                <w:sz w:val="28"/>
              </w:rPr>
              <w:t>Инспекции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5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Внедрение различных способов профилактики.</w:t>
            </w:r>
          </w:p>
          <w:p w14:paraId="66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Повышение прозрачности деятельности </w:t>
            </w:r>
            <w:r>
              <w:rPr>
                <w:rFonts w:ascii="Times New Roman" w:hAnsi="Times New Roman"/>
                <w:sz w:val="28"/>
              </w:rPr>
              <w:t>Инспекции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7000000">
            <w:pPr>
              <w:tabs>
                <w:tab w:leader="none" w:pos="145" w:val="left"/>
              </w:tabs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Уменьшение административной нагрузки на контролируемых лиц.</w:t>
            </w:r>
          </w:p>
          <w:p w14:paraId="68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уровня правовой грамотности контролируемых лиц.</w:t>
            </w:r>
          </w:p>
          <w:p w14:paraId="69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Обеспечение единообразия понимания предмета контроля контролируемыми лицами.</w:t>
            </w:r>
          </w:p>
          <w:p w14:paraId="6A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Мотивация контролируемых лиц к добросовестному поведению.</w:t>
            </w:r>
          </w:p>
        </w:tc>
      </w:tr>
      <w:tr>
        <w:trPr>
          <w:trHeight w:hRule="atLeast" w:val="418"/>
        </w:trPr>
        <w:tc>
          <w:tcPr>
            <w:tcW w:type="dxa" w:w="269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</w:t>
            </w:r>
          </w:p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keepNext w:val="1"/>
              <w:keepLines w:val="1"/>
              <w:widowControl w:val="0"/>
              <w:spacing w:after="0" w:line="240" w:lineRule="auto"/>
              <w:ind w:hanging="3" w:left="145" w:right="142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 1. </w:t>
            </w:r>
            <w:r>
              <w:rPr>
                <w:rFonts w:ascii="Times New Roman" w:hAnsi="Times New Roman"/>
                <w:sz w:val="28"/>
              </w:rPr>
              <w:t>Анализ текущего состояния осуществления лицензионного контроля,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14:paraId="6F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2. Цели и задачи реализации Программы профилактики.</w:t>
            </w:r>
          </w:p>
          <w:p w14:paraId="70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3. Перечень профилактических мероприятий, сроки (периодичность) их проведения.</w:t>
            </w:r>
          </w:p>
          <w:p w14:paraId="71000000">
            <w:pPr>
              <w:spacing w:after="0" w:line="240" w:lineRule="auto"/>
              <w:ind w:hanging="3" w:left="145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4. Показатели результативности и эффективности Программы профилактики.</w:t>
            </w:r>
          </w:p>
        </w:tc>
      </w:tr>
    </w:tbl>
    <w:p w14:paraId="72000000">
      <w:pPr>
        <w:spacing w:line="264" w:lineRule="auto"/>
        <w:ind/>
        <w:rPr>
          <w:rFonts w:ascii="Calibri" w:hAnsi="Calibri"/>
          <w:color w:val="000000"/>
        </w:rPr>
      </w:pPr>
    </w:p>
    <w:p w14:paraId="73000000">
      <w:pPr>
        <w:keepNext w:val="1"/>
        <w:keepLines w:val="1"/>
        <w:widowControl w:val="0"/>
        <w:spacing w:after="0" w:line="240" w:lineRule="auto"/>
        <w:ind w:hanging="3" w:left="145" w:right="142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Анализ текущего состояния осуществления лицензионного контроля,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нспекция является исполнительным органом Камчатского края, осуществляющим </w:t>
      </w:r>
      <w:r>
        <w:rPr>
          <w:rFonts w:ascii="Times New Roman" w:hAnsi="Times New Roman"/>
          <w:sz w:val="28"/>
        </w:rPr>
        <w:t>лицензионный контроль</w:t>
      </w:r>
      <w:r>
        <w:rPr>
          <w:rFonts w:ascii="Times New Roman" w:hAnsi="Times New Roman"/>
          <w:sz w:val="28"/>
        </w:rPr>
        <w:t>.</w:t>
      </w:r>
    </w:p>
    <w:p w14:paraId="76000000">
      <w:pPr>
        <w:spacing w:after="0" w:line="240" w:lineRule="auto"/>
        <w:ind w:firstLine="708" w:left="0"/>
        <w:contextualSpacing w:val="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в рамках Программы профилактики 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юридические лица, индивидуальные предприниматели, осуществляющие предпринимательскую деятельность на основании лицензии, на которых возложена обязанность по исполнению обязательных требований, установленных жилищным законодательством и законодательс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ом об энергосбережении и о по</w:t>
      </w:r>
      <w:r>
        <w:rPr>
          <w:rFonts w:ascii="Times New Roman" w:hAnsi="Times New Roman"/>
          <w:sz w:val="28"/>
        </w:rPr>
        <w:t>выш</w:t>
      </w:r>
      <w:r>
        <w:rPr>
          <w:rFonts w:ascii="Times New Roman" w:hAnsi="Times New Roman"/>
          <w:sz w:val="28"/>
        </w:rPr>
        <w:t>ении энергетической эффективности.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в отношении подконтрольных субъектов проведено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197 проверок,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2024 года – 166</w:t>
      </w:r>
      <w:r>
        <w:rPr>
          <w:rFonts w:ascii="Times New Roman" w:hAnsi="Times New Roman"/>
          <w:sz w:val="28"/>
        </w:rPr>
        <w:t xml:space="preserve"> проверок.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</w:t>
      </w:r>
      <w:r>
        <w:rPr>
          <w:rFonts w:ascii="Times New Roman" w:hAnsi="Times New Roman"/>
          <w:sz w:val="28"/>
        </w:rPr>
        <w:t>ультате проведенных проверок по лицензионному контролю выявлено нарушений обязательных требований в 2023 году – 564,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2024 года – 331</w:t>
      </w:r>
      <w:r>
        <w:rPr>
          <w:rFonts w:ascii="Times New Roman" w:hAnsi="Times New Roman"/>
          <w:sz w:val="28"/>
        </w:rPr>
        <w:t>, из которых наиболее часто имеют место нарушения порядка расчета платы за жилищно-коммунальные услуги, раскрытия информации в государственной информационной системе жилищно-коммунального хозяйства (далее – ГИС ЖКХ), качества предоставляемых коммунальных услуг, правил и норм технической эксплуатации жилищного фонда.</w:t>
      </w:r>
    </w:p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профилактики нарушений обязательных требований на странице Инспекции на официальном сайте исполнительных органов Камчатского края в информационно-телекоммуникационной сети «Интернет» (далее – официальный сайт Инспекции) регулярно публикуется в разделах «Новости», «Результаты работы» информация о проведенных контрольных мероприятиях, о выявляемых нарушениях, о мерах, предпринимаемых для их устранения, и о </w:t>
      </w:r>
      <w:r>
        <w:rPr>
          <w:rFonts w:ascii="Times New Roman" w:hAnsi="Times New Roman"/>
          <w:sz w:val="28"/>
        </w:rPr>
        <w:t xml:space="preserve">результатах контрольной деятельности, нормативные правовые акты, </w:t>
      </w:r>
      <w:r>
        <w:rPr>
          <w:rFonts w:ascii="Times New Roman" w:hAnsi="Times New Roman"/>
          <w:sz w:val="28"/>
        </w:rPr>
        <w:t>содержащие обязательные требования, соблюдение которых оценивается при проведении мероприятий по контролю.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2023 году Инспекцией подготовлено 74 п</w:t>
      </w:r>
      <w:r>
        <w:rPr>
          <w:rFonts w:ascii="Times New Roman" w:hAnsi="Times New Roman"/>
          <w:sz w:val="28"/>
        </w:rPr>
        <w:t>убликаций и 23 пресс-</w:t>
      </w:r>
      <w:r>
        <w:rPr>
          <w:rFonts w:ascii="Times New Roman" w:hAnsi="Times New Roman"/>
          <w:sz w:val="28"/>
        </w:rPr>
        <w:t xml:space="preserve">релиза, 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2024 года – 45</w:t>
      </w:r>
      <w:r>
        <w:rPr>
          <w:rFonts w:ascii="Times New Roman" w:hAnsi="Times New Roman"/>
          <w:sz w:val="28"/>
        </w:rPr>
        <w:t xml:space="preserve"> публикаций и </w:t>
      </w:r>
      <w:r>
        <w:rPr>
          <w:rFonts w:ascii="Times New Roman" w:hAnsi="Times New Roman"/>
          <w:sz w:val="28"/>
        </w:rPr>
        <w:t>10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8"/>
        </w:rPr>
        <w:t>пресс-релизов.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Руководством Инспекции в течение 2023 года проведено 20 публичных мероприятий,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2024 года – 17</w:t>
      </w:r>
      <w:r>
        <w:rPr>
          <w:rFonts w:ascii="Times New Roman" w:hAnsi="Times New Roman"/>
          <w:sz w:val="28"/>
        </w:rPr>
        <w:t>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направлена на</w:t>
      </w:r>
      <w:r>
        <w:rPr>
          <w:rFonts w:ascii="Times New Roman" w:hAnsi="Times New Roman"/>
          <w:sz w:val="28"/>
        </w:rPr>
        <w:t xml:space="preserve"> повышение эффективности</w:t>
      </w:r>
      <w:r>
        <w:rPr>
          <w:rFonts w:ascii="Times New Roman" w:hAnsi="Times New Roman"/>
          <w:sz w:val="28"/>
        </w:rPr>
        <w:t xml:space="preserve"> предупреждения нарушений обязательных треб</w:t>
      </w:r>
      <w:r>
        <w:rPr>
          <w:rFonts w:ascii="Times New Roman" w:hAnsi="Times New Roman"/>
          <w:sz w:val="28"/>
        </w:rPr>
        <w:t xml:space="preserve">ований и повышение правовой грамотности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.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предотвращения нарушений обязательных требований должностными лицами Инспекции применяется объявление предостережений контролируемым лицам о недопустимости нарушения обязательных </w:t>
      </w:r>
      <w:r>
        <w:rPr>
          <w:rFonts w:ascii="Times New Roman" w:hAnsi="Times New Roman"/>
          <w:sz w:val="28"/>
        </w:rPr>
        <w:t>требований (в 2023 году объявлено 353 предостережения,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2024 года – 318 предостережений</w:t>
      </w:r>
      <w:r>
        <w:rPr>
          <w:rFonts w:ascii="Times New Roman" w:hAnsi="Times New Roman"/>
          <w:sz w:val="28"/>
        </w:rPr>
        <w:t>).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профилактических мероприятий является приоритетным по отношению к проведению контрольных мероприятий.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80000000">
      <w:pPr>
        <w:keepNext w:val="1"/>
        <w:keepLines w:val="1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Цели и задачи реализации Программы профилактики</w:t>
      </w:r>
    </w:p>
    <w:p w14:paraId="81000000">
      <w:pPr>
        <w:keepNext w:val="1"/>
        <w:keepLines w:val="1"/>
        <w:widowControl w:val="0"/>
        <w:spacing w:after="0" w:line="240" w:lineRule="auto"/>
        <w:ind w:firstLine="567" w:left="0"/>
        <w:outlineLvl w:val="2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проведения профилактических мероприятий являются:</w:t>
      </w:r>
    </w:p>
    <w:p w14:paraId="83000000">
      <w:pPr>
        <w:widowControl w:val="0"/>
        <w:tabs>
          <w:tab w:leader="none" w:pos="14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предупреждение и предотвращение возникновения рисков причинения вреда (ущерба) охраняемым законом ценностям вследствие нарушения лицензионных требований законодательства при осуществлении предпринимательской деятельности по управлению многоквартирными домами;</w:t>
      </w:r>
    </w:p>
    <w:p w14:paraId="84000000">
      <w:pPr>
        <w:widowControl w:val="0"/>
        <w:tabs>
          <w:tab w:leader="none" w:pos="39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тимулирование добросовестного соблюдения обязательных требований контролируемыми лицами;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86000000">
      <w:pPr>
        <w:widowControl w:val="0"/>
        <w:tabs>
          <w:tab w:leader="none" w:pos="39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повышение прозрачности деятельности Инспекции при осуществлении лицензионного контроля;</w:t>
      </w:r>
    </w:p>
    <w:p w14:paraId="87000000">
      <w:pPr>
        <w:widowControl w:val="0"/>
        <w:tabs>
          <w:tab w:leader="none" w:pos="50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снижение административной нагрузки на контролируемых лиц;</w:t>
      </w:r>
    </w:p>
    <w:p w14:paraId="88000000">
      <w:pPr>
        <w:widowControl w:val="0"/>
        <w:tabs>
          <w:tab w:leader="none" w:pos="50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89000000">
      <w:pPr>
        <w:widowControl w:val="0"/>
        <w:tabs>
          <w:tab w:leader="none" w:pos="50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устранение существующих и потенциальных причин и условий, способствующих нарушению лицензионных требований и возникновению рисков причинения вреда (ущерба) охраняемым законом ценностям в сфере осуществления предпринимательской деятельности по управлению многоквартирными домами;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повышение эффективности и результативности осуществления лицензионного контроля.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Инспекцией профилактических мероприятий направлено на решение следующих задач: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выявление причин, факторов и условий, способствующих нарушению обязательных требований в сфере осуществления лицензионного контроля;</w:t>
      </w:r>
    </w:p>
    <w:p w14:paraId="8D000000">
      <w:pPr>
        <w:widowControl w:val="0"/>
        <w:tabs>
          <w:tab w:leader="none" w:pos="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4) выявление причин, факторов и условий, способствующих возникновению рисков причинения вреда (ущерба) охраняемым законом ценностям в результате нарушения лицензионных требований, установленных жилищным законодательством, законодательством об энергосбережении и о повышении энергетической эффективности;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формирование у контролируемых лиц единого понимания лицензионных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лицензионных требований и устранения рисков причинения вреда (ущерба) охраняемым законом ценностям;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формирование и внедрение новых форм взаимодействия с контролируемыми лицами;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keepNext w:val="1"/>
        <w:keepLines w:val="1"/>
        <w:widowControl w:val="0"/>
        <w:tabs>
          <w:tab w:leader="none" w:pos="1276" w:val="left"/>
        </w:tabs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мероприятий, сроки (периодичность) их проведения</w:t>
      </w:r>
    </w:p>
    <w:p w14:paraId="9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профилактических мероприятий определяется в соответствии с главой 10 Федерального закона № 248-ФЗ и включает в себя:</w:t>
      </w:r>
    </w:p>
    <w:p w14:paraId="9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9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обобщение правоприменительной практики;</w:t>
      </w:r>
    </w:p>
    <w:p w14:paraId="9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объявление предостережения;</w:t>
      </w:r>
    </w:p>
    <w:p w14:paraId="9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14:paraId="9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профилактический визит.</w:t>
      </w:r>
    </w:p>
    <w:p w14:paraId="9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реализуется посредством выполнения профилактических мероприятий в соответствии с планом-графиком проведения мероприятий, приведенным в приложении к настоящей Программе профилактики.</w:t>
      </w:r>
    </w:p>
    <w:p w14:paraId="9D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Инф</w:t>
      </w:r>
      <w:r>
        <w:rPr>
          <w:rFonts w:ascii="Times New Roman" w:hAnsi="Times New Roman"/>
          <w:sz w:val="28"/>
        </w:rPr>
        <w:t>ормирование</w:t>
      </w:r>
    </w:p>
    <w:p w14:paraId="9E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контролируемых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14:paraId="A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посредством размещения соответствующих сведений на официальном сайте Инспекции,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A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На официальном сайте Инспекции размещается и поддерживается в актуальном состоянии следующая информация:</w:t>
      </w:r>
      <w:r>
        <w:rPr>
          <w:rFonts w:ascii="Times New Roman" w:hAnsi="Times New Roman"/>
          <w:spacing w:val="2"/>
          <w:sz w:val="28"/>
        </w:rPr>
        <w:t xml:space="preserve">  </w:t>
      </w:r>
    </w:p>
    <w:p w14:paraId="A2000000">
      <w:pPr>
        <w:tabs>
          <w:tab w:leader="none" w:pos="426" w:val="left"/>
          <w:tab w:leader="none" w:pos="709" w:val="left"/>
        </w:tabs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тексты нормативных правовых актов, регулирующих осуществление лицензионного контроля;</w:t>
      </w:r>
    </w:p>
    <w:p w14:paraId="A3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сведения об изменениях, внесенных в нормативные правовые акты, регулирующие осуществление лицензионного контроля о сроках их вступления в силу;</w:t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 </w:t>
      </w:r>
    </w:p>
    <w:p w14:paraId="A4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лицензионного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A5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руководства по соблюдению обязательных требований, разработанные и утвержденные в соответствии с Федеральным законом от 31.07.2020 </w:t>
      </w: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>№ 247-ФЗ «Об обязательных требованиях в Российской Федерации»;</w:t>
      </w:r>
    </w:p>
    <w:p w14:paraId="A6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A7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A8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Программу профилактики и план проведения плановых контрольных мероприятий;</w:t>
      </w:r>
    </w:p>
    <w:p w14:paraId="A9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исчерпывающий перечень сведений, которые могут запрашиваться у контролируемого лица;</w:t>
      </w:r>
    </w:p>
    <w:p w14:paraId="AA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сведения о способах получения консультаций по вопросам соблюдения обязательных требований;</w:t>
      </w:r>
    </w:p>
    <w:p w14:paraId="AB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сведения о применении мер стимулирования добросовестности контролируемых лиц;  </w:t>
      </w:r>
    </w:p>
    <w:p w14:paraId="AC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сведения о порядке досудебного обжалования решений Инспекции, действий (бездействия) ее должностных лиц;</w:t>
      </w:r>
    </w:p>
    <w:p w14:paraId="AD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доклады, содержащие результаты обобщения правоприменительной практики;</w:t>
      </w:r>
    </w:p>
    <w:p w14:paraId="A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доклады о </w:t>
      </w:r>
      <w:r>
        <w:rPr>
          <w:rFonts w:ascii="Times New Roman" w:hAnsi="Times New Roman"/>
          <w:sz w:val="28"/>
        </w:rPr>
        <w:t>лицензионном контроле;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сведения, предусмотренные нормативными правовыми актами Российской Федерации, нормативными правовыми актами Камчатского края, муниципальными правовыми актами и (или) программами профилактики рисков причинения вреда.</w:t>
      </w:r>
    </w:p>
    <w:p w14:paraId="B0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Обобщение правоприменительной практики</w:t>
      </w:r>
    </w:p>
    <w:p w14:paraId="B2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в соответствии со статьей 47 Федерального закона № 248-ФЗ.</w:t>
      </w:r>
    </w:p>
    <w:p w14:paraId="B4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осуществляется для решения следующих задач:</w:t>
      </w:r>
    </w:p>
    <w:p w14:paraId="B5000000">
      <w:p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единообразных подходов к применению должностными лицами Инспекции обязательных требований, законодательства Российской Федерации о лицензионном контроле;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об актуализации обязательных требований;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14:paraId="B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обобщения правоприменительной практики Инспекция осуществляет подготовку доклада, </w:t>
      </w:r>
      <w:r>
        <w:rPr>
          <w:rFonts w:ascii="Times New Roman" w:hAnsi="Times New Roman"/>
          <w:spacing w:val="2"/>
          <w:sz w:val="28"/>
        </w:rPr>
        <w:t xml:space="preserve">содержащего результаты обобщения правоприменительной практики </w:t>
      </w:r>
      <w:r>
        <w:rPr>
          <w:rFonts w:ascii="Times New Roman" w:hAnsi="Times New Roman"/>
          <w:sz w:val="28"/>
        </w:rPr>
        <w:t>по осуществлению лицензионного контроля и размещает его на официальном сайте Инспекции до 15 марта.</w:t>
      </w:r>
    </w:p>
    <w:p w14:paraId="B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Инспекция обеспечивает публичное обсуждение проекта доклада о правоприменительной практике. Результаты обобщения правоприменительной практики включаются в ежегодный доклад Инспекции о состоянии лицензионного контроля.  </w:t>
      </w:r>
    </w:p>
    <w:p w14:paraId="BC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Объявление предостережения</w:t>
      </w:r>
    </w:p>
    <w:p w14:paraId="BE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предостережения проводится в соответствии со статьей 49 Федерального закона № 248-ФЗ.</w:t>
      </w:r>
    </w:p>
    <w:p w14:paraId="C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14:paraId="C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(периодичность) проведения данного мероприятия: постоянно.</w:t>
      </w:r>
    </w:p>
    <w:p w14:paraId="C2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Консультирование</w:t>
      </w:r>
    </w:p>
    <w:p w14:paraId="C4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проводится в соответствии со статьей 50 Федерального закона № 248-ФЗ.</w:t>
      </w:r>
    </w:p>
    <w:p w14:paraId="C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Консультации предоставляются по обращениям контролируемых лиц и их представителей без взимания платы в устном или письменном виде по вопросам: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организация и осуществление лицензионного контроля;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порядок осуществления профилактических, контрольных мероприятий;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эффективности. 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Консультация в устном виде может осуществляться по телефону, посредством видео-конференц-связи, на личном приеме либо в ходе проведения профилактического мероприятия.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Инспекция ведет учет консультирований.</w:t>
      </w:r>
    </w:p>
    <w:p w14:paraId="CC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Профилактический визит</w:t>
      </w:r>
    </w:p>
    <w:p w14:paraId="CE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 проводится в соответствии со статьей 52 Федерального закона № 248-ФЗ.</w:t>
      </w:r>
    </w:p>
    <w:p w14:paraId="D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Обязательный профилактический визит проводится в отношении</w:t>
      </w:r>
      <w:r>
        <w:rPr>
          <w:rFonts w:ascii="Times New Roman" w:hAnsi="Times New Roman"/>
          <w:sz w:val="28"/>
        </w:rPr>
        <w:t>:</w:t>
      </w:r>
    </w:p>
    <w:p w14:paraId="D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контроля, отнесенных к категориям высокого риска;</w:t>
      </w:r>
    </w:p>
    <w:p w14:paraId="D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контролируемых лиц, приступающих к осуществлению деятельности в сфере управления многоквартирными домами.</w:t>
      </w:r>
    </w:p>
    <w:p w14:paraId="D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профилактического визита (в том числе обязательного профилактического визита): ежеквартально.</w:t>
      </w:r>
    </w:p>
    <w:p w14:paraId="D4000000">
      <w:pPr>
        <w:spacing w:after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</w:p>
    <w:p w14:paraId="D5000000">
      <w:pPr>
        <w:keepNext w:val="1"/>
        <w:keepLines w:val="1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14:paraId="D6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Программы профилактики оценивается: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повышением эффективности системы профилактики нарушений обязательных требований;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снижением количества правонарушений при осуществлении контролируемыми лицами своей деятельности;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понятностью обязательных требований, обеспечивающей их однозначное толкование контролируемыми лицами;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вовлечением контролируемых лиц в регулярное взаимодействие с Инспекцией.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Целевые показатели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рограммы профилактики в рамках осуществления </w:t>
      </w:r>
      <w:r>
        <w:rPr>
          <w:rFonts w:ascii="Times New Roman" w:hAnsi="Times New Roman"/>
          <w:sz w:val="28"/>
        </w:rPr>
        <w:t xml:space="preserve">лицензионного контроля </w:t>
      </w: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 xml:space="preserve"> год: </w:t>
      </w:r>
    </w:p>
    <w:tbl>
      <w:tblPr>
        <w:tblStyle w:val="Style_7"/>
        <w:tblLayout w:type="fixed"/>
      </w:tblPr>
      <w:tblGrid>
        <w:gridCol w:w="421"/>
        <w:gridCol w:w="2976"/>
        <w:gridCol w:w="3686"/>
        <w:gridCol w:w="2551"/>
      </w:tblGrid>
      <w:tr>
        <w:tc>
          <w:tcPr>
            <w:tcW w:type="dxa" w:w="421"/>
          </w:tcPr>
          <w:p w14:paraId="E0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№</w:t>
            </w:r>
          </w:p>
        </w:tc>
        <w:tc>
          <w:tcPr>
            <w:tcW w:type="dxa" w:w="2976"/>
          </w:tcPr>
          <w:p w14:paraId="E1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Наименование показателя</w:t>
            </w:r>
          </w:p>
        </w:tc>
        <w:tc>
          <w:tcPr>
            <w:tcW w:type="dxa" w:w="3686"/>
          </w:tcPr>
          <w:p w14:paraId="E2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Параметры расчета</w:t>
            </w:r>
          </w:p>
        </w:tc>
        <w:tc>
          <w:tcPr>
            <w:tcW w:type="dxa" w:w="2551"/>
          </w:tcPr>
          <w:p w14:paraId="E3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Значение показателя</w:t>
            </w:r>
          </w:p>
        </w:tc>
      </w:tr>
    </w:tbl>
    <w:p w14:paraId="E4000000">
      <w:pPr>
        <w:spacing w:after="0" w:line="240" w:lineRule="auto"/>
        <w:ind/>
        <w:rPr>
          <w:rFonts w:ascii="Calibri" w:hAnsi="Calibri"/>
          <w:color w:val="000000"/>
          <w:sz w:val="2"/>
        </w:rPr>
      </w:pPr>
    </w:p>
    <w:tbl>
      <w:tblPr>
        <w:tblStyle w:val="Style_7"/>
        <w:tblLayout w:type="fixed"/>
      </w:tblPr>
      <w:tblGrid>
        <w:gridCol w:w="421"/>
        <w:gridCol w:w="2976"/>
        <w:gridCol w:w="3686"/>
        <w:gridCol w:w="2551"/>
      </w:tblGrid>
      <w:tr>
        <w:trPr>
          <w:tblHeader/>
        </w:trPr>
        <w:tc>
          <w:tcPr>
            <w:tcW w:type="dxa" w:w="421"/>
          </w:tcPr>
          <w:p w14:paraId="E5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type="dxa" w:w="2976"/>
          </w:tcPr>
          <w:p w14:paraId="E6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type="dxa" w:w="3686"/>
          </w:tcPr>
          <w:p w14:paraId="E7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type="dxa" w:w="2551"/>
          </w:tcPr>
          <w:p w14:paraId="E8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4</w:t>
            </w:r>
          </w:p>
        </w:tc>
      </w:tr>
      <w:tr>
        <w:tc>
          <w:tcPr>
            <w:tcW w:type="dxa" w:w="421"/>
          </w:tcPr>
          <w:p w14:paraId="E9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1.</w:t>
            </w:r>
          </w:p>
        </w:tc>
        <w:tc>
          <w:tcPr>
            <w:tcW w:type="dxa" w:w="2976"/>
          </w:tcPr>
          <w:p w14:paraId="EA000000">
            <w:pPr>
              <w:spacing w:line="240" w:lineRule="auto"/>
              <w:ind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количества профилактических мероприятий к количеству проведенных надзорных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EB000000">
            <w:pPr>
              <w:widowControl w:val="0"/>
              <w:spacing w:line="240" w:lineRule="auto"/>
              <w:ind w:firstLine="11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</w:tcPr>
          <w:p w14:paraId="EC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= К/У*100%, где:</w:t>
            </w:r>
          </w:p>
          <w:p w14:paraId="ED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– расчетное значение показателя, </w:t>
            </w:r>
          </w:p>
          <w:p w14:paraId="EE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– количество проведенных за соответствующий календарный год профилактических мероприятий,</w:t>
            </w:r>
          </w:p>
          <w:p w14:paraId="EF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количество проведенных за соответствующий календарный год надзорных мероприятий</w:t>
            </w:r>
          </w:p>
        </w:tc>
        <w:tc>
          <w:tcPr>
            <w:tcW w:type="dxa" w:w="2551"/>
          </w:tcPr>
          <w:p w14:paraId="F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50 % – 5 баллов,</w:t>
            </w:r>
          </w:p>
          <w:p w14:paraId="F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30–50 % – 3 балла, </w:t>
            </w:r>
          </w:p>
          <w:p w14:paraId="F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10–29 % – 1 балл, менее 10 % – 0 баллов</w:t>
            </w:r>
          </w:p>
          <w:p w14:paraId="F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1"/>
          </w:tcPr>
          <w:p w14:paraId="F4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2.</w:t>
            </w:r>
          </w:p>
        </w:tc>
        <w:tc>
          <w:tcPr>
            <w:tcW w:type="dxa" w:w="2976"/>
          </w:tcPr>
          <w:p w14:paraId="F5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поднадзорных лиц, охваченных профилактическими визитами</w:t>
            </w:r>
          </w:p>
        </w:tc>
        <w:tc>
          <w:tcPr>
            <w:tcW w:type="dxa" w:w="3686"/>
          </w:tcPr>
          <w:p w14:paraId="F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= К/У*100%, где:</w:t>
            </w:r>
          </w:p>
          <w:p w14:paraId="F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– расчетное значение показателя,</w:t>
            </w:r>
          </w:p>
          <w:p w14:paraId="F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– количество поднадзорных лиц, охваченных профилактическими визитами, </w:t>
            </w:r>
          </w:p>
          <w:p w14:paraId="F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всех поднадзорных лиц</w:t>
            </w:r>
          </w:p>
        </w:tc>
        <w:tc>
          <w:tcPr>
            <w:tcW w:type="dxa" w:w="2551"/>
          </w:tcPr>
          <w:p w14:paraId="F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30 % – 5 баллов, 15–30 % – 3 балла, </w:t>
            </w:r>
          </w:p>
          <w:p w14:paraId="F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5–14 % – 1 балл, </w:t>
            </w:r>
          </w:p>
          <w:p w14:paraId="F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F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1"/>
          </w:tcPr>
          <w:p w14:paraId="FE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3.</w:t>
            </w:r>
          </w:p>
        </w:tc>
        <w:tc>
          <w:tcPr>
            <w:tcW w:type="dxa" w:w="2976"/>
          </w:tcPr>
          <w:p w14:paraId="FF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количества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мероприятия, к общему количеству поднадзорных лиц, в отношении которых проведены надзорные мероприятия</w:t>
            </w:r>
          </w:p>
          <w:p w14:paraId="0001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3686"/>
          </w:tcPr>
          <w:p w14:paraId="0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 = К/У*100%, где:</w:t>
            </w:r>
          </w:p>
          <w:p w14:paraId="0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 – расчетное значение показателя, </w:t>
            </w:r>
          </w:p>
          <w:p w14:paraId="03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– количество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 в соответствующем календарном году,</w:t>
            </w:r>
          </w:p>
          <w:p w14:paraId="0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поднадзорных лиц, в отношении которых проведены надзорные мероприятия в соответствующем календарном году</w:t>
            </w:r>
          </w:p>
        </w:tc>
        <w:tc>
          <w:tcPr>
            <w:tcW w:type="dxa" w:w="2551"/>
          </w:tcPr>
          <w:p w14:paraId="0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30 % – 5 баллов, 15–30 % – 3 балла,</w:t>
            </w:r>
          </w:p>
          <w:p w14:paraId="0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5–14 % – 1 балл,</w:t>
            </w:r>
          </w:p>
          <w:p w14:paraId="0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0801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</w:tr>
      <w:tr>
        <w:tc>
          <w:tcPr>
            <w:tcW w:type="dxa" w:w="421"/>
          </w:tcPr>
          <w:p w14:paraId="0901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4.</w:t>
            </w:r>
          </w:p>
        </w:tc>
        <w:tc>
          <w:tcPr>
            <w:tcW w:type="dxa" w:w="2976"/>
          </w:tcPr>
          <w:p w14:paraId="0A01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устраненных нарушений обязательных требований, выявленных при проведении профилактических мероприятий, к общему количеству устраненных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рушений обязательных требований</w:t>
            </w:r>
          </w:p>
          <w:p w14:paraId="0B01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3686"/>
          </w:tcPr>
          <w:p w14:paraId="0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 = К/У*100%, где:</w:t>
            </w:r>
          </w:p>
          <w:p w14:paraId="0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 – расчетное значение показателя, </w:t>
            </w:r>
          </w:p>
          <w:p w14:paraId="0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– количество устраненных нарушений обязательных требований, выявленных при проведении профилактических мероприятий, </w:t>
            </w:r>
          </w:p>
          <w:p w14:paraId="0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устраненных нарушений обязательных требований</w:t>
            </w:r>
          </w:p>
        </w:tc>
        <w:tc>
          <w:tcPr>
            <w:tcW w:type="dxa" w:w="2551"/>
          </w:tcPr>
          <w:p w14:paraId="1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30 % – 5 баллов, 15–30 % – 3 балла, </w:t>
            </w:r>
          </w:p>
          <w:p w14:paraId="1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5–14 % – 1 балл, </w:t>
            </w:r>
          </w:p>
          <w:p w14:paraId="1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1301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</w:tr>
      <w:tr>
        <w:tc>
          <w:tcPr>
            <w:tcW w:type="dxa" w:w="421"/>
          </w:tcPr>
          <w:p w14:paraId="1401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5.</w:t>
            </w:r>
          </w:p>
        </w:tc>
        <w:tc>
          <w:tcPr>
            <w:tcW w:type="dxa" w:w="2976"/>
          </w:tcPr>
          <w:p w14:paraId="1501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профилактических визитов в отношении поднадзорных лиц с количеством проведенных выездных проверок поднадзорных лиц за соответствующий календарный год</w:t>
            </w:r>
          </w:p>
        </w:tc>
        <w:tc>
          <w:tcPr>
            <w:tcW w:type="dxa" w:w="3686"/>
          </w:tcPr>
          <w:p w14:paraId="1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 = К/У*100%, где:</w:t>
            </w:r>
          </w:p>
          <w:p w14:paraId="1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 – расчетное значение показателя, </w:t>
            </w:r>
          </w:p>
          <w:p w14:paraId="1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– количество поднадзорных лиц, охваченных профилактическими визитами, </w:t>
            </w:r>
          </w:p>
          <w:p w14:paraId="1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проведенных выездных проверок</w:t>
            </w:r>
          </w:p>
          <w:p w14:paraId="1A01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2551"/>
          </w:tcPr>
          <w:p w14:paraId="1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30 % – 5 баллов, 15–30 % – 3 балла, </w:t>
            </w:r>
          </w:p>
          <w:p w14:paraId="1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5–14 % – 1 балл, </w:t>
            </w:r>
          </w:p>
          <w:p w14:paraId="1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1E01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</w:tr>
    </w:tbl>
    <w:p w14:paraId="1F010000">
      <w:pPr>
        <w:widowControl w:val="0"/>
        <w:spacing w:after="0" w:line="240" w:lineRule="auto"/>
        <w:ind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</w:p>
    <w:p w14:paraId="20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считается успешно реализованной при значении суммарного показателя эффективности 20–25 баллов.</w:t>
      </w:r>
    </w:p>
    <w:p w14:paraId="21010000">
      <w:pPr>
        <w:spacing w:line="264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2010000">
      <w:pPr>
        <w:sectPr>
          <w:headerReference r:id="rId2" w:type="default"/>
          <w:pgSz w:h="16838" w:orient="portrait" w:w="11906"/>
          <w:pgMar w:bottom="1134" w:footer="709" w:gutter="0" w:header="709" w:left="1418" w:right="851" w:top="791"/>
          <w:titlePg/>
        </w:sectPr>
      </w:pPr>
    </w:p>
    <w:p w14:paraId="23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Программе</w:t>
      </w:r>
      <w:r>
        <w:rPr>
          <w:rFonts w:ascii="Times New Roman" w:hAnsi="Times New Roman"/>
          <w:sz w:val="28"/>
        </w:rPr>
        <w:t xml:space="preserve"> профилактики</w:t>
      </w:r>
    </w:p>
    <w:p w14:paraId="24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рисков причинения вреда (ущерба) охраняемым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законом ценностям при осуществлении регионального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государственного лицензионного контроля за осуществлением </w:t>
      </w:r>
    </w:p>
    <w:p w14:paraId="25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предпринимательской деятельности по управлению </w:t>
      </w:r>
    </w:p>
    <w:p w14:paraId="26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многоквартирными домами на 2025</w:t>
      </w:r>
      <w:r>
        <w:rPr>
          <w:rFonts w:ascii="Times New Roman" w:hAnsi="Times New Roman"/>
          <w:sz w:val="28"/>
        </w:rPr>
        <w:t xml:space="preserve"> год</w:t>
      </w:r>
    </w:p>
    <w:p w14:paraId="27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</w:t>
      </w:r>
    </w:p>
    <w:p w14:paraId="2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профилактических мероприятий </w:t>
      </w:r>
      <w:r>
        <w:rPr>
          <w:rFonts w:ascii="Times New Roman" w:hAnsi="Times New Roman"/>
          <w:sz w:val="28"/>
        </w:rPr>
        <w:t>Инспекции</w:t>
      </w:r>
      <w:r>
        <w:rPr>
          <w:rFonts w:ascii="Times New Roman" w:hAnsi="Times New Roman"/>
          <w:sz w:val="28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</w:t>
      </w:r>
      <w:r>
        <w:rPr>
          <w:rFonts w:ascii="Times New Roman" w:hAnsi="Times New Roman"/>
          <w:sz w:val="28"/>
        </w:rPr>
        <w:t>е лицензионного контроля на 2025</w:t>
      </w:r>
      <w:r>
        <w:rPr>
          <w:rFonts w:ascii="Times New Roman" w:hAnsi="Times New Roman"/>
          <w:sz w:val="28"/>
        </w:rPr>
        <w:t xml:space="preserve"> год</w:t>
      </w:r>
    </w:p>
    <w:p w14:paraId="2A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4"/>
        <w:tblInd w:type="dxa" w:w="-55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09"/>
        <w:gridCol w:w="2164"/>
        <w:gridCol w:w="4502"/>
        <w:gridCol w:w="2047"/>
        <w:gridCol w:w="2455"/>
        <w:gridCol w:w="1501"/>
        <w:gridCol w:w="2046"/>
      </w:tblGrid>
      <w:tr>
        <w:trPr>
          <w:tblHeader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мероприятия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Адресаты мероприятий 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подразделения</w:t>
            </w:r>
          </w:p>
        </w:tc>
      </w:tr>
    </w:tbl>
    <w:p w14:paraId="3201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-55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09"/>
        <w:gridCol w:w="2164"/>
        <w:gridCol w:w="4502"/>
        <w:gridCol w:w="2047"/>
        <w:gridCol w:w="2455"/>
        <w:gridCol w:w="1501"/>
        <w:gridCol w:w="2046"/>
      </w:tblGrid>
      <w:tr>
        <w:trPr>
          <w:trHeight w:hRule="atLeast" w:val="52"/>
          <w:tblHeader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35010000">
            <w:pPr>
              <w:spacing w:after="0" w:line="240" w:lineRule="auto"/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279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1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B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C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размещение на официальном сайте </w:t>
            </w:r>
            <w:r>
              <w:rPr>
                <w:rFonts w:ascii="Times New Roman" w:hAnsi="Times New Roman"/>
                <w:sz w:val="24"/>
              </w:rPr>
              <w:t>Инспекции</w:t>
            </w:r>
            <w:r>
              <w:rPr>
                <w:rFonts w:ascii="Times New Roman" w:hAnsi="Times New Roman"/>
                <w:sz w:val="24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D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 (ежемесячно)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Соответствующий раздел на официальном сайте Инспекции содержит актуальную информацию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F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0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лицензирования, правовой и аналитической деятельности</w:t>
            </w:r>
          </w:p>
        </w:tc>
      </w:tr>
      <w:tr>
        <w:trPr>
          <w:trHeight w:hRule="atLeast" w:val="1786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2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Инспекции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3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 раз в год (в течение 30 дней со дня окончания полугодия)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4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5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6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лицензирования, правовой и аналитической деятельности</w:t>
            </w:r>
          </w:p>
          <w:p w14:paraId="47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9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контролируемых лиц путем подготовки и размещения на официальном сайте Инспекции </w:t>
            </w:r>
            <w:r>
              <w:rPr>
                <w:rFonts w:ascii="Times New Roman" w:hAnsi="Times New Roman"/>
                <w:sz w:val="24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A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опубликования на официальных </w:t>
            </w:r>
            <w:r>
              <w:rPr>
                <w:rFonts w:ascii="Times New Roman" w:hAnsi="Times New Roman"/>
                <w:sz w:val="24"/>
              </w:rPr>
              <w:t>сайтах федеральных органов власти в соответствующей сфере деятельности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B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C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лицензирования, </w:t>
            </w:r>
            <w:r>
              <w:rPr>
                <w:rFonts w:ascii="Times New Roman" w:hAnsi="Times New Roman"/>
                <w:sz w:val="24"/>
              </w:rPr>
              <w:t>правовой и аналитической деятельности</w:t>
            </w:r>
          </w:p>
          <w:p w14:paraId="4F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1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2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 на официальном сайте Инспекции доклада о правоприменительной практике контрольно-надзорной деятельности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3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</w:p>
          <w:p w14:paraId="54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  <w:bookmarkStart w:id="5" w:name="_GoBack"/>
            <w:bookmarkEnd w:id="5"/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5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Инспекции обзора правоприменительной практики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6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7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лицензирования, правовой и аналитической деятельности</w:t>
            </w:r>
          </w:p>
        </w:tc>
      </w:tr>
      <w:tr>
        <w:trPr>
          <w:trHeight w:hRule="atLeast" w:val="1060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9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A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B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получения сведений о признаках нарушений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C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D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rPr>
          <w:trHeight w:hRule="atLeast" w:val="1007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21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1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по вопросам соблюдения обязательных требований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2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3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4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5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rPr>
          <w:trHeight w:hRule="atLeast" w:val="968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2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8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контролируемых лиц по вопросам соблюдения обязательных требований на семинарах (</w:t>
            </w:r>
            <w:r>
              <w:rPr>
                <w:rFonts w:ascii="Times New Roman" w:hAnsi="Times New Roman"/>
                <w:sz w:val="24"/>
              </w:rPr>
              <w:t>вебинарах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9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A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B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/>
        </w:tc>
      </w:tr>
      <w:tr>
        <w:trPr>
          <w:trHeight w:hRule="atLeast" w:val="3218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216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D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E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управления МКД, а также в отношении объектов контроля, отнесенных к категориям высокого риска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6F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0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1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72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Отдел жилищного надзора и лицензионного контроля, 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</w:tc>
      </w:tr>
      <w:t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4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75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информации в публичном пространстве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76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7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страниц в социальных сетях и поддержание их в актуальном состоянии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8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79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</w:tbl>
    <w:p w14:paraId="7A010000">
      <w:pPr>
        <w:spacing w:line="264" w:lineRule="auto"/>
        <w:ind/>
        <w:rPr>
          <w:rFonts w:ascii="Calibri" w:hAnsi="Calibri"/>
          <w:color w:val="000000"/>
        </w:rPr>
      </w:pPr>
    </w:p>
    <w:p w14:paraId="7B010000">
      <w:pPr>
        <w:widowControl w:val="0"/>
        <w:spacing w:after="0" w:before="375" w:line="240" w:lineRule="auto"/>
        <w:ind/>
        <w:contextualSpacing w:val="1"/>
        <w:jc w:val="right"/>
        <w:outlineLvl w:val="2"/>
        <w:rPr>
          <w:rFonts w:ascii="Times New Roman" w:hAnsi="Times New Roman"/>
          <w:sz w:val="28"/>
        </w:rPr>
      </w:pPr>
    </w:p>
    <w:sectPr>
      <w:headerReference r:id="rId1" w:type="default"/>
      <w:pgSz w:h="11906" w:orient="landscape" w:w="16838"/>
      <w:pgMar w:bottom="851" w:footer="709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  <w:p w14:paraId="03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  <w:p w14:paraId="05000000">
    <w:pPr>
      <w:pStyle w:val="Style_1"/>
    </w:pPr>
  </w:p>
  <w:p w14:paraId="06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line="264" w:lineRule="auto"/>
      <w:ind/>
    </w:pPr>
    <w:rPr>
      <w:color w:val="000000"/>
    </w:rPr>
  </w:style>
  <w:style w:default="1" w:styleId="Style_8_ch" w:type="character">
    <w:name w:val="Normal"/>
    <w:link w:val="Style_8"/>
    <w:rPr>
      <w:color w:val="000000"/>
    </w:rPr>
  </w:style>
  <w:style w:styleId="Style_9" w:type="paragraph">
    <w:name w:val="toc 2"/>
    <w:basedOn w:val="Style_8"/>
    <w:next w:val="Style_8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8_ch"/>
    <w:link w:val="Style_9"/>
  </w:style>
  <w:style w:styleId="Style_10" w:type="paragraph">
    <w:name w:val="toc 4"/>
    <w:basedOn w:val="Style_8"/>
    <w:next w:val="Style_8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8_ch"/>
    <w:link w:val="Style_10"/>
  </w:style>
  <w:style w:styleId="Style_11" w:type="paragraph">
    <w:name w:val="heading 7"/>
    <w:basedOn w:val="Style_8"/>
    <w:next w:val="Style_8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8_ch"/>
    <w:link w:val="Style_11"/>
    <w:rPr>
      <w:rFonts w:ascii="Arial" w:hAnsi="Arial"/>
      <w:b w:val="1"/>
      <w:i w:val="1"/>
    </w:rPr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toc 6"/>
    <w:basedOn w:val="Style_8"/>
    <w:next w:val="Style_8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8_ch"/>
    <w:link w:val="Style_13"/>
  </w:style>
  <w:style w:styleId="Style_14" w:type="paragraph">
    <w:name w:val="toc 7"/>
    <w:basedOn w:val="Style_8"/>
    <w:next w:val="Style_8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8_ch"/>
    <w:link w:val="Style_14"/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8_ch"/>
    <w:link w:val="Style_15"/>
    <w:rPr>
      <w:rFonts w:ascii="Arial" w:hAnsi="Arial"/>
      <w:sz w:val="30"/>
    </w:rPr>
  </w:style>
  <w:style w:styleId="Style_16" w:type="paragraph">
    <w:name w:val="heading 9"/>
    <w:basedOn w:val="Style_8"/>
    <w:next w:val="Style_8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8_ch"/>
    <w:link w:val="Style_16"/>
    <w:rPr>
      <w:rFonts w:ascii="Arial" w:hAnsi="Arial"/>
      <w:i w:val="1"/>
      <w:sz w:val="2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18" w:type="paragraph">
    <w:name w:val="endnote text"/>
    <w:basedOn w:val="Style_8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 text"/>
    <w:basedOn w:val="Style_8_ch"/>
    <w:link w:val="Style_18"/>
    <w:rPr>
      <w:sz w:val="20"/>
    </w:rPr>
  </w:style>
  <w:style w:styleId="Style_19" w:type="paragraph">
    <w:name w:val="toc 3"/>
    <w:basedOn w:val="Style_8"/>
    <w:next w:val="Style_8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8_ch"/>
    <w:link w:val="Style_19"/>
  </w:style>
  <w:style w:styleId="Style_5" w:type="paragraph">
    <w:name w:val="No Spacing"/>
    <w:link w:val="Style_5_ch"/>
    <w:pPr>
      <w:spacing w:after="0" w:line="240" w:lineRule="auto"/>
      <w:ind/>
    </w:pPr>
    <w:rPr>
      <w:color w:val="000000"/>
    </w:rPr>
  </w:style>
  <w:style w:styleId="Style_5_ch" w:type="character">
    <w:name w:val="No Spacing"/>
    <w:link w:val="Style_5"/>
    <w:rPr>
      <w:color w:val="000000"/>
    </w:rPr>
  </w:style>
  <w:style w:styleId="Style_20" w:type="paragraph">
    <w:name w:val="Header Char"/>
    <w:basedOn w:val="Style_17"/>
    <w:link w:val="Style_20_ch"/>
  </w:style>
  <w:style w:styleId="Style_20_ch" w:type="character">
    <w:name w:val="Header Char"/>
    <w:basedOn w:val="Style_17_ch"/>
    <w:link w:val="Style_20"/>
  </w:style>
  <w:style w:styleId="Style_21" w:type="paragraph">
    <w:name w:val="heading 5"/>
    <w:basedOn w:val="Style_8"/>
    <w:next w:val="Style_8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8_ch"/>
    <w:link w:val="Style_21"/>
    <w:rPr>
      <w:rFonts w:ascii="Arial" w:hAnsi="Arial"/>
      <w:b w:val="1"/>
      <w:sz w:val="24"/>
    </w:rPr>
  </w:style>
  <w:style w:styleId="Style_22" w:type="paragraph">
    <w:name w:val="Footer Char"/>
    <w:basedOn w:val="Style_17"/>
    <w:link w:val="Style_22_ch"/>
  </w:style>
  <w:style w:styleId="Style_22_ch" w:type="character">
    <w:name w:val="Footer Char"/>
    <w:basedOn w:val="Style_17_ch"/>
    <w:link w:val="Style_22"/>
  </w:style>
  <w:style w:styleId="Style_23" w:type="paragraph">
    <w:name w:val="Caption Char"/>
    <w:link w:val="Style_23_ch"/>
  </w:style>
  <w:style w:styleId="Style_23_ch" w:type="character">
    <w:name w:val="Caption Char"/>
    <w:link w:val="Style_23"/>
  </w:style>
  <w:style w:styleId="Style_24" w:type="paragraph">
    <w:name w:val="heading 1"/>
    <w:basedOn w:val="Style_8"/>
    <w:next w:val="Style_8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8_ch"/>
    <w:link w:val="Style_24"/>
    <w:rPr>
      <w:rFonts w:ascii="Arial" w:hAnsi="Arial"/>
      <w:sz w:val="40"/>
    </w:rPr>
  </w:style>
  <w:style w:styleId="Style_25" w:type="paragraph">
    <w:name w:val="Quote"/>
    <w:basedOn w:val="Style_8"/>
    <w:next w:val="Style_8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8_ch"/>
    <w:link w:val="Style_25"/>
    <w:rPr>
      <w:i w:val="1"/>
    </w:rPr>
  </w:style>
  <w:style w:styleId="Style_26" w:type="paragraph">
    <w:name w:val="Hyperlink"/>
    <w:link w:val="Style_26_ch"/>
    <w:rPr>
      <w:color w:themeColor="hyperlink" w:val="0563C1"/>
      <w:u w:val="single"/>
    </w:rPr>
  </w:style>
  <w:style w:styleId="Style_26_ch" w:type="character">
    <w:name w:val="Hyperlink"/>
    <w:link w:val="Style_26"/>
    <w:rPr>
      <w:color w:themeColor="hyperlink" w:val="0563C1"/>
      <w:u w:val="single"/>
    </w:rPr>
  </w:style>
  <w:style w:styleId="Style_27" w:type="paragraph">
    <w:name w:val="Footnote"/>
    <w:basedOn w:val="Style_8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8_ch"/>
    <w:link w:val="Style_27"/>
    <w:rPr>
      <w:sz w:val="18"/>
    </w:rPr>
  </w:style>
  <w:style w:styleId="Style_28" w:type="paragraph">
    <w:name w:val="heading 8"/>
    <w:basedOn w:val="Style_8"/>
    <w:next w:val="Style_8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8_ch" w:type="character">
    <w:name w:val="heading 8"/>
    <w:basedOn w:val="Style_8_ch"/>
    <w:link w:val="Style_28"/>
    <w:rPr>
      <w:rFonts w:ascii="Arial" w:hAnsi="Arial"/>
      <w:i w:val="1"/>
    </w:rPr>
  </w:style>
  <w:style w:styleId="Style_29" w:type="paragraph">
    <w:name w:val="toc 1"/>
    <w:basedOn w:val="Style_8"/>
    <w:next w:val="Style_8"/>
    <w:link w:val="Style_29_ch"/>
    <w:uiPriority w:val="39"/>
    <w:pPr>
      <w:spacing w:after="57"/>
      <w:ind/>
    </w:pPr>
  </w:style>
  <w:style w:styleId="Style_29_ch" w:type="character">
    <w:name w:val="toc 1"/>
    <w:basedOn w:val="Style_8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footer"/>
    <w:basedOn w:val="Style_8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footer"/>
    <w:basedOn w:val="Style_8_ch"/>
    <w:link w:val="Style_31"/>
  </w:style>
  <w:style w:styleId="Style_32" w:type="paragraph">
    <w:name w:val="table of figures"/>
    <w:basedOn w:val="Style_8"/>
    <w:next w:val="Style_8"/>
    <w:link w:val="Style_32_ch"/>
    <w:pPr>
      <w:spacing w:after="0"/>
      <w:ind/>
    </w:pPr>
  </w:style>
  <w:style w:styleId="Style_32_ch" w:type="character">
    <w:name w:val="table of figures"/>
    <w:basedOn w:val="Style_8_ch"/>
    <w:link w:val="Style_32"/>
  </w:style>
  <w:style w:styleId="Style_33" w:type="paragraph">
    <w:name w:val="toc 9"/>
    <w:basedOn w:val="Style_8"/>
    <w:next w:val="Style_8"/>
    <w:link w:val="Style_33_ch"/>
    <w:uiPriority w:val="39"/>
    <w:pPr>
      <w:spacing w:after="57"/>
      <w:ind w:firstLine="0" w:left="2268"/>
    </w:pPr>
  </w:style>
  <w:style w:styleId="Style_33_ch" w:type="character">
    <w:name w:val="toc 9"/>
    <w:basedOn w:val="Style_8_ch"/>
    <w:link w:val="Style_33"/>
  </w:style>
  <w:style w:styleId="Style_34" w:type="paragraph">
    <w:name w:val="toc 8"/>
    <w:basedOn w:val="Style_8"/>
    <w:next w:val="Style_8"/>
    <w:link w:val="Style_34_ch"/>
    <w:uiPriority w:val="39"/>
    <w:pPr>
      <w:spacing w:after="57"/>
      <w:ind w:firstLine="0" w:left="1984"/>
    </w:pPr>
  </w:style>
  <w:style w:styleId="Style_34_ch" w:type="character">
    <w:name w:val="toc 8"/>
    <w:basedOn w:val="Style_8_ch"/>
    <w:link w:val="Style_34"/>
  </w:style>
  <w:style w:styleId="Style_35" w:type="paragraph">
    <w:name w:val="endnote reference"/>
    <w:basedOn w:val="Style_17"/>
    <w:link w:val="Style_35_ch"/>
    <w:rPr>
      <w:vertAlign w:val="superscript"/>
    </w:rPr>
  </w:style>
  <w:style w:styleId="Style_35_ch" w:type="character">
    <w:name w:val="endnote reference"/>
    <w:basedOn w:val="Style_17_ch"/>
    <w:link w:val="Style_35"/>
    <w:rPr>
      <w:vertAlign w:val="superscript"/>
    </w:rPr>
  </w:style>
  <w:style w:styleId="Style_36" w:type="paragraph">
    <w:name w:val="toc 5"/>
    <w:basedOn w:val="Style_8"/>
    <w:next w:val="Style_8"/>
    <w:link w:val="Style_36_ch"/>
    <w:uiPriority w:val="39"/>
    <w:pPr>
      <w:spacing w:after="57"/>
      <w:ind w:firstLine="0" w:left="1134"/>
    </w:pPr>
  </w:style>
  <w:style w:styleId="Style_36_ch" w:type="character">
    <w:name w:val="toc 5"/>
    <w:basedOn w:val="Style_8_ch"/>
    <w:link w:val="Style_36"/>
  </w:style>
  <w:style w:styleId="Style_37" w:type="paragraph">
    <w:name w:val="caption"/>
    <w:basedOn w:val="Style_8"/>
    <w:next w:val="Style_8"/>
    <w:link w:val="Style_37_ch"/>
    <w:pPr>
      <w:spacing w:line="276" w:lineRule="auto"/>
      <w:ind/>
    </w:pPr>
    <w:rPr>
      <w:b w:val="1"/>
      <w:color w:themeColor="accent1" w:val="5B9BD5"/>
      <w:sz w:val="18"/>
    </w:rPr>
  </w:style>
  <w:style w:styleId="Style_37_ch" w:type="character">
    <w:name w:val="caption"/>
    <w:basedOn w:val="Style_8_ch"/>
    <w:link w:val="Style_37"/>
    <w:rPr>
      <w:b w:val="1"/>
      <w:color w:themeColor="accent1" w:val="5B9BD5"/>
      <w:sz w:val="18"/>
    </w:rPr>
  </w:style>
  <w:style w:styleId="Style_38" w:type="paragraph">
    <w:name w:val="Subtitle"/>
    <w:basedOn w:val="Style_8"/>
    <w:next w:val="Style_8"/>
    <w:link w:val="Style_38_ch"/>
    <w:uiPriority w:val="11"/>
    <w:qFormat/>
    <w:pPr>
      <w:spacing w:after="200" w:before="200"/>
      <w:ind/>
    </w:pPr>
    <w:rPr>
      <w:sz w:val="24"/>
    </w:rPr>
  </w:style>
  <w:style w:styleId="Style_38_ch" w:type="character">
    <w:name w:val="Subtitle"/>
    <w:basedOn w:val="Style_8_ch"/>
    <w:link w:val="Style_38"/>
    <w:rPr>
      <w:sz w:val="24"/>
    </w:rPr>
  </w:style>
  <w:style w:styleId="Style_39" w:type="paragraph">
    <w:name w:val="Title"/>
    <w:basedOn w:val="Style_8"/>
    <w:next w:val="Style_8"/>
    <w:link w:val="Style_39_ch"/>
    <w:uiPriority w:val="10"/>
    <w:qFormat/>
    <w:pPr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8_ch"/>
    <w:link w:val="Style_39"/>
    <w:rPr>
      <w:sz w:val="48"/>
    </w:rPr>
  </w:style>
  <w:style w:styleId="Style_40" w:type="paragraph">
    <w:name w:val="heading 4"/>
    <w:basedOn w:val="Style_8"/>
    <w:next w:val="Style_8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8_ch"/>
    <w:link w:val="Style_40"/>
    <w:rPr>
      <w:rFonts w:ascii="Arial" w:hAnsi="Arial"/>
      <w:b w:val="1"/>
      <w:sz w:val="26"/>
    </w:rPr>
  </w:style>
  <w:style w:styleId="Style_41" w:type="paragraph">
    <w:name w:val="footnote reference"/>
    <w:basedOn w:val="Style_17"/>
    <w:link w:val="Style_41_ch"/>
    <w:rPr>
      <w:vertAlign w:val="superscript"/>
    </w:rPr>
  </w:style>
  <w:style w:styleId="Style_41_ch" w:type="character">
    <w:name w:val="footnote reference"/>
    <w:basedOn w:val="Style_17_ch"/>
    <w:link w:val="Style_41"/>
    <w:rPr>
      <w:vertAlign w:val="superscript"/>
    </w:rPr>
  </w:style>
  <w:style w:styleId="Style_42" w:type="paragraph">
    <w:name w:val="heading 2"/>
    <w:basedOn w:val="Style_8"/>
    <w:next w:val="Style_8"/>
    <w:link w:val="Style_4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2_ch" w:type="character">
    <w:name w:val="heading 2"/>
    <w:basedOn w:val="Style_8_ch"/>
    <w:link w:val="Style_42"/>
    <w:rPr>
      <w:rFonts w:ascii="Arial" w:hAnsi="Arial"/>
      <w:sz w:val="34"/>
    </w:rPr>
  </w:style>
  <w:style w:styleId="Style_43" w:type="paragraph">
    <w:name w:val="Intense Quote"/>
    <w:basedOn w:val="Style_8"/>
    <w:next w:val="Style_8"/>
    <w:link w:val="Style_43_ch"/>
    <w:pPr>
      <w:ind w:firstLine="0" w:left="720" w:right="720"/>
    </w:pPr>
    <w:rPr>
      <w:i w:val="1"/>
    </w:rPr>
  </w:style>
  <w:style w:styleId="Style_43_ch" w:type="character">
    <w:name w:val="Intense Quote"/>
    <w:basedOn w:val="Style_8_ch"/>
    <w:link w:val="Style_43"/>
    <w:rPr>
      <w:i w:val="1"/>
    </w:rPr>
  </w:style>
  <w:style w:styleId="Style_44" w:type="paragraph">
    <w:name w:val="heading 6"/>
    <w:basedOn w:val="Style_8"/>
    <w:next w:val="Style_8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4_ch" w:type="character">
    <w:name w:val="heading 6"/>
    <w:basedOn w:val="Style_8_ch"/>
    <w:link w:val="Style_44"/>
    <w:rPr>
      <w:rFonts w:ascii="Arial" w:hAnsi="Arial"/>
      <w:b w:val="1"/>
    </w:rPr>
  </w:style>
  <w:style w:styleId="Style_4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" w:type="table">
    <w:name w:val="Сетка таблицы2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1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6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61" w:type="table">
    <w:name w:val="Сетка таблицы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6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6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7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81" w:type="table">
    <w:name w:val="List Table 1 Light - Accent 6"/>
    <w:basedOn w:val="Style_4"/>
    <w:pPr>
      <w:spacing w:after="0" w:line="240" w:lineRule="auto"/>
      <w:ind/>
    </w:pPr>
  </w:style>
  <w:style w:styleId="Style_8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9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1" w:type="table">
    <w:name w:val="List Table 1 Light - Accent 1"/>
    <w:basedOn w:val="Style_4"/>
    <w:pPr>
      <w:spacing w:after="0" w:line="240" w:lineRule="auto"/>
      <w:ind/>
    </w:pPr>
  </w:style>
  <w:style w:styleId="Style_92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" w:type="table">
    <w:name w:val="Сетка таблицы3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0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List Table 1 Light"/>
    <w:basedOn w:val="Style_4"/>
    <w:pPr>
      <w:spacing w:after="0" w:line="240" w:lineRule="auto"/>
      <w:ind/>
    </w:pPr>
  </w:style>
  <w:style w:styleId="Style_10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4" w:type="table">
    <w:name w:val="Plain Table 3"/>
    <w:basedOn w:val="Style_4"/>
    <w:pPr>
      <w:spacing w:after="0" w:line="240" w:lineRule="auto"/>
      <w:ind/>
    </w:pPr>
  </w:style>
  <w:style w:styleId="Style_10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0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1" w:type="table">
    <w:name w:val="List Table 1 Light - Accent 5"/>
    <w:basedOn w:val="Style_4"/>
    <w:pPr>
      <w:spacing w:after="0" w:line="240" w:lineRule="auto"/>
      <w:ind/>
    </w:pPr>
  </w:style>
  <w:style w:styleId="Style_11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Plain Table 5"/>
    <w:basedOn w:val="Style_4"/>
    <w:pPr>
      <w:spacing w:after="0" w:line="240" w:lineRule="auto"/>
      <w:ind/>
    </w:pPr>
  </w:style>
  <w:style w:styleId="Style_119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0" w:type="table">
    <w:name w:val="List Table 1 Light - Accent 3"/>
    <w:basedOn w:val="Style_4"/>
    <w:pPr>
      <w:spacing w:after="0" w:line="240" w:lineRule="auto"/>
      <w:ind/>
    </w:pPr>
  </w:style>
  <w:style w:styleId="Style_121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12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2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List Table 1 Light - Accent 2"/>
    <w:basedOn w:val="Style_4"/>
    <w:pPr>
      <w:spacing w:after="0" w:line="240" w:lineRule="auto"/>
      <w:ind/>
    </w:pPr>
  </w:style>
  <w:style w:styleId="Style_12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2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List Table 1 Light - Accent 4"/>
    <w:basedOn w:val="Style_4"/>
    <w:pPr>
      <w:spacing w:after="0" w:line="240" w:lineRule="auto"/>
      <w:ind/>
    </w:pPr>
  </w:style>
  <w:style w:styleId="Style_13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3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41" w:type="table">
    <w:name w:val="Plain Table 4"/>
    <w:basedOn w:val="Style_4"/>
    <w:pPr>
      <w:spacing w:after="0" w:line="240" w:lineRule="auto"/>
      <w:ind/>
    </w:pPr>
  </w:style>
  <w:style w:styleId="Style_142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4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5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0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1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2024-10-03T06:26:19Z</dcterms:modified>
</cp:coreProperties>
</file>