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ГОСУДАРСТВЕННАЯ ЖИЛИЩНАЯ ИНСПЕКЦИЯ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-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48"/>
      </w:tblGrid>
      <w:tr>
        <w:trPr>
          <w:trHeight w:hRule="atLeast" w:val="261"/>
        </w:trPr>
        <w:tc>
          <w:tcPr>
            <w:tcW w:type="dxa" w:w="4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D000000">
            <w:pPr>
              <w:spacing w:after="60"/>
              <w:ind/>
              <w:rPr>
                <w:rFonts w:ascii="Times New Roman" w:hAnsi="Times New Roman"/>
                <w:color w:themeColor="background1" w:val="FFFFFF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themeColor="background1" w:val="FFFFFF"/>
                <w:sz w:val="28"/>
              </w:rPr>
              <w:t>[Д</w:t>
            </w:r>
            <w:r>
              <w:rPr>
                <w:rFonts w:ascii="Times New Roman" w:hAnsi="Times New Roman"/>
                <w:color w:themeColor="background1" w:val="FFFFFF"/>
              </w:rPr>
              <w:t>ата регистрации] № [Номер документа]</w:t>
            </w:r>
            <w:bookmarkEnd w:id="1"/>
          </w:p>
        </w:tc>
      </w:tr>
    </w:tbl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11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докладов о правоприменительной практике за 2024 год</w:t>
      </w:r>
    </w:p>
    <w:p w14:paraId="12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47 Федерального закона </w:t>
      </w:r>
      <w:r>
        <w:rPr>
          <w:rFonts w:ascii="Times New Roman" w:hAnsi="Times New Roman"/>
          <w:sz w:val="28"/>
        </w:rPr>
        <w:t>от 31.07.2020 № 248-ФЗ «О государственном контроле (надзоре) и муниципальном контроле в Российской Федерации» и абзацем третьим пункта 10 Правил осуществления государственного контроля (надзора) за соблюдением специализированными некоммерческими организаци</w:t>
      </w:r>
      <w:r>
        <w:rPr>
          <w:rFonts w:ascii="Times New Roman" w:hAnsi="Times New Roman"/>
          <w:sz w:val="28"/>
        </w:rPr>
        <w:t>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</w:t>
      </w:r>
      <w:r>
        <w:rPr>
          <w:rFonts w:ascii="Times New Roman" w:hAnsi="Times New Roman"/>
          <w:sz w:val="28"/>
        </w:rPr>
        <w:t>ческой эффективности, к использованию и сохранности жилищного фонда независимо от его формы собственности, утвержденных постановлением Правительства Российской Федерации от 28.09.2022 № 1702,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Доклад о правоприменительной практике п</w:t>
      </w:r>
      <w:r>
        <w:rPr>
          <w:rFonts w:ascii="Times New Roman" w:hAnsi="Times New Roman"/>
          <w:sz w:val="28"/>
        </w:rPr>
        <w:t xml:space="preserve">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Государственной жилищной инспекцией Камчатского края за 2024 год </w:t>
      </w:r>
      <w:r>
        <w:rPr>
          <w:rFonts w:ascii="Times New Roman" w:hAnsi="Times New Roman"/>
          <w:sz w:val="28"/>
        </w:rPr>
        <w:t>согласно приложению 1 к настоящему приказу.</w:t>
      </w:r>
    </w:p>
    <w:p w14:paraId="19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Доклад о правоприменительной практике при осуществлении регионального государственного жилищного контроля (надзора) на территории Камчатского края Государственной жилищной инспекцией Камчатского края за</w:t>
      </w:r>
      <w:r>
        <w:rPr>
          <w:rFonts w:ascii="Times New Roman" w:hAnsi="Times New Roman"/>
          <w:sz w:val="28"/>
        </w:rPr>
        <w:t xml:space="preserve"> 2024 год согласно приложению 2 к настоящему приказу.</w:t>
      </w:r>
    </w:p>
    <w:p w14:paraId="1A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Доклад о правоприменительной практике контрольной (надзорной) деятельности в рамках государственного контроля (надзора) за соблюдением – некоммерческой организации «Фонд капитального ремонта м</w:t>
      </w:r>
      <w:r>
        <w:rPr>
          <w:rFonts w:ascii="Times New Roman" w:hAnsi="Times New Roman"/>
          <w:sz w:val="28"/>
        </w:rPr>
        <w:t>ногоквартирных домов Камчатского края» деятельности, направленной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</w:t>
      </w:r>
      <w:r>
        <w:rPr>
          <w:rFonts w:ascii="Times New Roman" w:hAnsi="Times New Roman"/>
          <w:sz w:val="28"/>
        </w:rPr>
        <w:t>ении энергетической эффективности, к использованию и сохранности жилищного фонда независимо от его формы собственности на территории Камчатского края Государственной жилищной инспекцией Камчатского края за 2024 год согласно приложению 3 к настоящему приказ</w:t>
      </w:r>
      <w:r>
        <w:rPr>
          <w:rFonts w:ascii="Times New Roman" w:hAnsi="Times New Roman"/>
          <w:sz w:val="28"/>
        </w:rPr>
        <w:t>у.</w:t>
      </w:r>
    </w:p>
    <w:p w14:paraId="1B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Начальнику отдела лицензирования, правовой и аналитической деятельности Государственной жилищной инспекции Камчатского края разместить настоящий приказ на странице Государственной жилищной инспекции Камчатского края официального сайта исполнительных орг</w:t>
      </w:r>
      <w:r>
        <w:rPr>
          <w:rFonts w:ascii="Times New Roman" w:hAnsi="Times New Roman"/>
          <w:sz w:val="28"/>
        </w:rPr>
        <w:t>анов Камчатского края в информационно-телекоммуникационной сети «Интернет».</w:t>
      </w:r>
    </w:p>
    <w:p w14:paraId="1C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приказа оставляю за собой.</w:t>
      </w:r>
    </w:p>
    <w:p w14:paraId="1D000000">
      <w:pPr>
        <w:spacing w:after="0" w:line="360" w:lineRule="auto"/>
        <w:ind w:firstLine="1" w:left="708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543"/>
        <w:gridCol w:w="3826"/>
        <w:gridCol w:w="2268"/>
      </w:tblGrid>
      <w:tr>
        <w:trPr>
          <w:trHeight w:hRule="atLeast" w:val="665"/>
        </w:trPr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ВрИО руководителя Инспекции – главного государственного</w:t>
            </w:r>
          </w:p>
          <w:p w14:paraId="1F000000">
            <w:pPr>
              <w:spacing w:after="0" w:line="240" w:lineRule="auto"/>
              <w:ind w:hanging="4" w:left="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жилищного инспектора</w:t>
            </w:r>
          </w:p>
          <w:p w14:paraId="20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826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-116"/>
              <w:rPr>
                <w:rFonts w:ascii="Times New Roman" w:hAnsi="Times New Roman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D9D9D9"/>
                <w:sz w:val="24"/>
              </w:rPr>
              <w:t>[горизонтальный штамп п</w:t>
            </w:r>
            <w:r>
              <w:rPr>
                <w:rFonts w:ascii="Times New Roman" w:hAnsi="Times New Roman"/>
                <w:color w:val="D9D9D9"/>
                <w:sz w:val="24"/>
              </w:rPr>
              <w:t>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  <w:vAlign w:val="bottom"/>
          </w:tcPr>
          <w:p w14:paraId="22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Э.М. Кравченко</w:t>
            </w:r>
          </w:p>
        </w:tc>
      </w:tr>
    </w:tbl>
    <w:p w14:paraId="2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</w:t>
      </w:r>
    </w:p>
    <w:tbl>
      <w:tblPr>
        <w:tblStyle w:val="Style_5"/>
        <w:tblInd w:type="dxa" w:w="52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01"/>
        <w:gridCol w:w="1825"/>
        <w:gridCol w:w="405"/>
        <w:gridCol w:w="1764"/>
      </w:tblGrid>
      <w:tr>
        <w:tc>
          <w:tcPr>
            <w:tcW w:type="dxa" w:w="4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60" w:line="264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</w:rPr>
              <w:t>EGDATESTAMP]</w:t>
            </w:r>
          </w:p>
        </w:tc>
        <w:tc>
          <w:tcPr>
            <w:tcW w:type="dxa" w:w="40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 w:line="264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</w:rPr>
              <w:t>EGNUMSTAMP]</w:t>
            </w:r>
          </w:p>
        </w:tc>
      </w:tr>
    </w:tbl>
    <w:p w14:paraId="2B000000"/>
    <w:p w14:paraId="2C000000"/>
    <w:p w14:paraId="2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правоприменительной практике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Государственной жилищной инспекци</w:t>
      </w:r>
      <w:r>
        <w:rPr>
          <w:rFonts w:ascii="Times New Roman" w:hAnsi="Times New Roman"/>
          <w:sz w:val="28"/>
        </w:rPr>
        <w:t>ей Камчатского края за 2024 год</w:t>
      </w:r>
    </w:p>
    <w:p w14:paraId="2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 о правоприменительной практике при осуществлении 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</w:t>
      </w:r>
      <w:r>
        <w:rPr>
          <w:rFonts w:ascii="Times New Roman" w:hAnsi="Times New Roman"/>
          <w:sz w:val="28"/>
        </w:rPr>
        <w:t>ритории Камчатского края (далее – лицензионный контроль) Государственной жилищной инспекцией Камчатского края (далее – Инспекция) за 2024 год подготовлен в соответствии со статьей 47 Федерального закона от 31.07.2020 № 248-ФЗ «О государственном контроле (н</w:t>
      </w:r>
      <w:r>
        <w:rPr>
          <w:rFonts w:ascii="Times New Roman" w:hAnsi="Times New Roman"/>
          <w:sz w:val="28"/>
        </w:rPr>
        <w:t>адзоре) и муниципальном контроле в Российской Федерации» (далее – Федеральный закон № 248-ФЗ).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правоприменительной практики проводится для решения следующих задач: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обеспечение единообразных подходов к применению Инспекцией и ее должностными ли</w:t>
      </w:r>
      <w:r>
        <w:rPr>
          <w:rFonts w:ascii="Times New Roman" w:hAnsi="Times New Roman"/>
          <w:sz w:val="28"/>
        </w:rPr>
        <w:t>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выявление типичных нарушений обязательных требований, причин, факторов и условий, способствующих возникновению указанных на</w:t>
      </w:r>
      <w:r>
        <w:rPr>
          <w:rFonts w:ascii="Times New Roman" w:hAnsi="Times New Roman"/>
          <w:sz w:val="28"/>
        </w:rPr>
        <w:t>рушений;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подготовка предложений об актуализации обязательных требований.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"consultantplus://offline/ref=66BC270C265BB7FA7ABA4C1396370CAD098749C077A20A7480597946566F2FA33E22E14544B7489C597C81B329X7G" \o "consultantplus://offline/ref=66BC270C265BB7FA7ABA4C1396370CAD098749C077A20A7480597946566F2FA33E22E14544B7489C597C81B329X7G"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</w:t>
      </w:r>
      <w:r>
        <w:rPr>
          <w:rFonts w:ascii="Times New Roman" w:hAnsi="Times New Roman"/>
          <w:sz w:val="28"/>
        </w:rPr>
        <w:t>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Государственной жилищной инспекции Камчатского края, утвержденным постановлением Правительства Камчатского края от 03.04.2023 № 188-П, Инспекция является исполнительным органом Камчатского края, осуществляющим на территории края региональный го</w:t>
      </w:r>
      <w:r>
        <w:rPr>
          <w:rFonts w:ascii="Times New Roman" w:hAnsi="Times New Roman"/>
          <w:sz w:val="28"/>
        </w:rPr>
        <w:t>сударственный жилищный контроль (надзор) и лицензирование предпринимательской деятельности по управлению многоквартирными домами.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Инспекция осуществляет свою деятельность, в том числе на основании Положения о региональном государственном лицензионном контр</w:t>
      </w:r>
      <w:r>
        <w:rPr>
          <w:rFonts w:ascii="Times New Roman" w:hAnsi="Times New Roman"/>
          <w:sz w:val="28"/>
        </w:rPr>
        <w:t xml:space="preserve">оле за осуществлением предпринимательской деятельности по управлению многоквартирными домами на территории Камчатского края, утвержденного </w:t>
      </w:r>
      <w:r>
        <w:rPr>
          <w:rFonts w:ascii="Times New Roman" w:hAnsi="Times New Roman"/>
          <w:sz w:val="28"/>
        </w:rPr>
        <w:t>постановлением Правительства Камчатского края от 11.02.2022 № 59-П (далее – Положение о контроле).</w:t>
      </w:r>
    </w:p>
    <w:p w14:paraId="3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норматив</w:t>
      </w:r>
      <w:r>
        <w:rPr>
          <w:rFonts w:ascii="Times New Roman" w:hAnsi="Times New Roman"/>
          <w:sz w:val="28"/>
        </w:rPr>
        <w:t>ных правовых актов, используемых</w:t>
      </w:r>
    </w:p>
    <w:p w14:paraId="3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контрольно-надзорной деятельности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контрольных мероприятий по соблюдению юридическими лицами и индивидуальными предпринимателями требований, установленных статьей 193 Жилищного кодекса Ро</w:t>
      </w:r>
      <w:r>
        <w:rPr>
          <w:rFonts w:ascii="Times New Roman" w:hAnsi="Times New Roman"/>
          <w:sz w:val="28"/>
        </w:rPr>
        <w:t>ссийской Федерации, Инспекция руководствовалась следующими нормативными правовыми актами: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Жилищным кодексом Российской Федерации (далее – ЖК РФ); 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Кодексом Российской Федерации об административных правонарушениях (далее – КоАП РФ);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</w:t>
      </w:r>
      <w:r>
        <w:rPr>
          <w:rFonts w:ascii="Times New Roman" w:hAnsi="Times New Roman"/>
          <w:sz w:val="28"/>
        </w:rPr>
        <w:t>4.05.2011 № 99-ФЗ «О лицензировании отдельных видов деятельности»;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21.07.2014 № 209-ФЗ «О государственной информационной системе жилищно-коммунального хозяйства»; 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23.11.2009 № 261-ФЗ «Об энергосбережении и о п</w:t>
      </w:r>
      <w:r>
        <w:rPr>
          <w:rFonts w:ascii="Times New Roman" w:hAnsi="Times New Roman"/>
          <w:sz w:val="28"/>
        </w:rPr>
        <w:t xml:space="preserve">овышении энергетической эффективности, и о внесении изменений в отдельные законодательные акты Российской Федерации»; 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27.07.2010 № 190-ФЗ «О теплоснабжении»; 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07.12.2011 № 416-ФЗ «О водоснабжении и водоотведен</w:t>
      </w:r>
      <w:r>
        <w:rPr>
          <w:rFonts w:ascii="Times New Roman" w:hAnsi="Times New Roman"/>
          <w:sz w:val="28"/>
        </w:rPr>
        <w:t>ии»;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28.10.2014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1110 «О лицензировании предпринимательской деятельности по управлению многоквартирными домами»; 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06.05.2011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354 «О предоставлени</w:t>
      </w:r>
      <w:r>
        <w:rPr>
          <w:rFonts w:ascii="Times New Roman" w:hAnsi="Times New Roman"/>
          <w:sz w:val="28"/>
        </w:rPr>
        <w:t>и коммунальных услуг собственникам и пользователям жилых помещений в многоквартирных домах и жилых домов»</w:t>
      </w:r>
      <w:r>
        <w:t xml:space="preserve"> </w:t>
      </w:r>
      <w:r>
        <w:rPr>
          <w:rFonts w:ascii="Times New Roman" w:hAnsi="Times New Roman"/>
          <w:sz w:val="28"/>
        </w:rPr>
        <w:t>(далее – постановление № 354);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13.08.2006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491 «Об утверждении Правил содержания общего имущест</w:t>
      </w:r>
      <w:r>
        <w:rPr>
          <w:rFonts w:ascii="Times New Roman" w:hAnsi="Times New Roman"/>
          <w:sz w:val="28"/>
        </w:rPr>
        <w:t>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</w:t>
      </w:r>
      <w:r>
        <w:rPr>
          <w:rFonts w:ascii="Times New Roman" w:hAnsi="Times New Roman"/>
          <w:sz w:val="28"/>
        </w:rPr>
        <w:t>ывами, превышающими установленную продолжительность»</w:t>
      </w:r>
      <w:r>
        <w:t xml:space="preserve"> </w:t>
      </w:r>
      <w:r>
        <w:rPr>
          <w:rFonts w:ascii="Times New Roman" w:hAnsi="Times New Roman"/>
          <w:sz w:val="28"/>
        </w:rPr>
        <w:t>(далее – постановление № 491);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15.05.2013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416 «О порядке осуществления деятельности по управлению многоквартирными домами»</w:t>
      </w:r>
      <w:r>
        <w:t xml:space="preserve"> </w:t>
      </w:r>
      <w:r>
        <w:rPr>
          <w:rFonts w:ascii="Times New Roman" w:hAnsi="Times New Roman"/>
          <w:sz w:val="28"/>
        </w:rPr>
        <w:t>(далее – постановление №</w:t>
      </w:r>
      <w:r>
        <w:rPr>
          <w:rFonts w:ascii="Times New Roman" w:hAnsi="Times New Roman"/>
          <w:sz w:val="28"/>
        </w:rPr>
        <w:t xml:space="preserve"> 416);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25.04.2011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318 «Об утверждении Правил осуществления государственного контроля (надзора) за соблюдением требований законодательства об энергосбережении и </w:t>
      </w:r>
      <w:r>
        <w:rPr>
          <w:rFonts w:ascii="Times New Roman" w:hAnsi="Times New Roman"/>
          <w:sz w:val="28"/>
        </w:rPr>
        <w:t>о повышении энергетической эффективност</w:t>
      </w:r>
      <w:r>
        <w:rPr>
          <w:rFonts w:ascii="Times New Roman" w:hAnsi="Times New Roman"/>
          <w:sz w:val="28"/>
        </w:rPr>
        <w:t>и, и о внесении изменений в некоторые акты Правительства Российской Федерации»;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03.04.2013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290 «О минимальном перечне услуг и работ, необходимых для обеспечения надлежащего содержания общего имущества</w:t>
      </w:r>
      <w:r>
        <w:rPr>
          <w:rFonts w:ascii="Times New Roman" w:hAnsi="Times New Roman"/>
          <w:sz w:val="28"/>
        </w:rPr>
        <w:t xml:space="preserve"> в многоквартирном доме, и порядке их оказания и выполнения»</w:t>
      </w:r>
      <w:r>
        <w:t xml:space="preserve"> </w:t>
      </w:r>
      <w:r>
        <w:rPr>
          <w:rFonts w:ascii="Times New Roman" w:hAnsi="Times New Roman"/>
          <w:sz w:val="28"/>
        </w:rPr>
        <w:t>(далее – постановление № 290);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28.03.2012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253 «О требованиях к осуществлению расчетов за ресурсы, необходимые для предоставления коммунальн</w:t>
      </w:r>
      <w:r>
        <w:rPr>
          <w:rFonts w:ascii="Times New Roman" w:hAnsi="Times New Roman"/>
          <w:sz w:val="28"/>
        </w:rPr>
        <w:t>ых услуг»;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16.07.2009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584 «Об уведомительном порядке начала осуществления отдельных видов предпринимательской деятельности»;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Госстроя России от 27.09.2003 № 170 «Об утверждении Правил и</w:t>
      </w:r>
      <w:r>
        <w:rPr>
          <w:rFonts w:ascii="Times New Roman" w:hAnsi="Times New Roman"/>
          <w:sz w:val="28"/>
        </w:rPr>
        <w:t xml:space="preserve"> норм технической эксплуатации жилищного фонда».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Нормативные правовые акты, регламентирующие деятельность Инспекции в установленной сфере, размещены на странице Инспекции официального сайта исполнительных органов Камчатского края в </w:t>
      </w:r>
      <w:r>
        <w:rPr>
          <w:rFonts w:ascii="Times New Roman" w:hAnsi="Times New Roman"/>
          <w:sz w:val="28"/>
        </w:rPr>
        <w:t>информационно-телекоммуникационной сети «Интернет»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"https://www.kamgov.ru/ingoszhil" \o "https://www.kamgov.ru/ingoszhil"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https://www.kamgov.ru/ingoszhil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 (далее – официальный сайт Инспекции).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ежегодного плана проверок юридических</w:t>
      </w:r>
    </w:p>
    <w:p w14:paraId="5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 и индивидуальных предпринимателей, его направление</w:t>
      </w:r>
    </w:p>
    <w:p w14:paraId="5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органы прокуратуры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марта 2022 года Правительством Российской Федерации в целях снижения административной нагрузки на хозяйствующие субъекты принято постановление № 336 «Об особенностях организац</w:t>
      </w:r>
      <w:r>
        <w:rPr>
          <w:rFonts w:ascii="Times New Roman" w:hAnsi="Times New Roman"/>
          <w:sz w:val="28"/>
        </w:rPr>
        <w:t>ии и осуществления государственного контроля (надзора), муниципального контроля» (далее – постановление № 336).</w:t>
      </w:r>
    </w:p>
    <w:p w14:paraId="56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внеплановых контрольных (надзорных) мероприятий с взаимодействием с контролируемыми лицами стало возможным исключительно по основания</w:t>
      </w:r>
      <w:r>
        <w:rPr>
          <w:rFonts w:ascii="Times New Roman" w:hAnsi="Times New Roman"/>
          <w:sz w:val="28"/>
        </w:rPr>
        <w:t>м, перечень которых являлся исчерпывающим, при условии согласования с органами прокуратуры.</w:t>
      </w:r>
    </w:p>
    <w:p w14:paraId="57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общему правилу, установленному в пункте 7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 xml:space="preserve">постановления № 336, выдача предписаний по итогам проведения контрольных (надзорных) мероприятий без взаимодействия с </w:t>
      </w:r>
      <w:r>
        <w:rPr>
          <w:rFonts w:ascii="Times New Roman" w:hAnsi="Times New Roman"/>
          <w:sz w:val="28"/>
        </w:rPr>
        <w:t>контролируемым лицом не допускается</w:t>
      </w:r>
    </w:p>
    <w:p w14:paraId="5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плановых проверок на 2024 год не формировался в связи с отсутствием объектов контроля, отнесенных к высокой категории риска.</w:t>
      </w:r>
    </w:p>
    <w:p w14:paraId="5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оснований для проведения внеплановых</w:t>
      </w:r>
    </w:p>
    <w:p w14:paraId="5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проверок. Согласование проведения внеп</w:t>
      </w:r>
      <w:r>
        <w:rPr>
          <w:rFonts w:ascii="Times New Roman" w:hAnsi="Times New Roman"/>
          <w:sz w:val="28"/>
        </w:rPr>
        <w:t>лановых выездных</w:t>
      </w:r>
    </w:p>
    <w:p w14:paraId="5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проверок с органами прокуратуры в установленных федеральными</w:t>
      </w:r>
    </w:p>
    <w:p w14:paraId="5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законами случаях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подпунктом «б» пункта 3 постановления № 336 для проведения внеплановых контрольных (надзорных) мероприятий без согласования с прокуратурой в 20</w:t>
      </w:r>
      <w:r>
        <w:rPr>
          <w:rFonts w:ascii="Times New Roman" w:hAnsi="Times New Roman"/>
          <w:sz w:val="28"/>
        </w:rPr>
        <w:t>24 году были предусмотрены следующие основания:</w:t>
      </w:r>
    </w:p>
    <w:p w14:paraId="60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поручение Президента Российской Федерации;</w:t>
      </w:r>
    </w:p>
    <w:p w14:paraId="61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поручение Председателя Правительства Российской Федерации, принятое после вступления в силу постановления № 336;</w:t>
      </w:r>
    </w:p>
    <w:p w14:paraId="62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поручение Заместителя Председателя Правительства Рос</w:t>
      </w:r>
      <w:r>
        <w:rPr>
          <w:rFonts w:ascii="Times New Roman" w:hAnsi="Times New Roman"/>
          <w:sz w:val="28"/>
        </w:rPr>
        <w:t xml:space="preserve">сийской Федерации, принятое после вступления в силу постановления № 336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согласованное с Заместителем Председателя Правительства Российской Федерации – Руководителем Аппарата Правительства Российской Федерации;</w:t>
      </w:r>
    </w:p>
    <w:p w14:paraId="63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требование прокурора в рамках надзора за ис</w:t>
      </w:r>
      <w:r>
        <w:rPr>
          <w:rFonts w:ascii="Times New Roman" w:hAnsi="Times New Roman"/>
          <w:sz w:val="28"/>
        </w:rPr>
        <w:t xml:space="preserve">полнением законов, соблюдением прав и свобод человека и гражданина по поступившим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органы прокуратуры материалам и обращениям.</w:t>
      </w:r>
    </w:p>
    <w:p w14:paraId="64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контролируемым лицом документов и (или) сведений об исполнении предписания или иного решения контрольного (надзор</w:t>
      </w:r>
      <w:r>
        <w:rPr>
          <w:rFonts w:ascii="Times New Roman" w:hAnsi="Times New Roman"/>
          <w:sz w:val="28"/>
        </w:rPr>
        <w:t>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65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осуществление регионального государственного лицензионного контроля за осуществлением </w:t>
      </w:r>
      <w:r>
        <w:rPr>
          <w:rFonts w:ascii="Times New Roman" w:hAnsi="Times New Roman"/>
          <w:sz w:val="28"/>
        </w:rPr>
        <w:t>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прав.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проверк</w:t>
      </w:r>
      <w:r>
        <w:rPr>
          <w:rFonts w:ascii="Times New Roman" w:hAnsi="Times New Roman"/>
          <w:sz w:val="28"/>
        </w:rPr>
        <w:t xml:space="preserve">и исполнения предписаний подлежат согласованию с прокуратурой. В 2024 году Инспекцией было направлено в прокуратуру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9 заявлений о согласовании, из которых прокуратурой согласовано 1 заявление, в согласовании 8 заявлений отказано.</w:t>
      </w: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требований </w:t>
      </w:r>
      <w:r>
        <w:rPr>
          <w:rFonts w:ascii="Times New Roman" w:hAnsi="Times New Roman"/>
          <w:sz w:val="28"/>
        </w:rPr>
        <w:t xml:space="preserve">части 3 статьи 46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248-ФЗ перечни объектов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отнесены Инспекци</w:t>
      </w:r>
      <w:r>
        <w:rPr>
          <w:rFonts w:ascii="Times New Roman" w:hAnsi="Times New Roman"/>
          <w:sz w:val="28"/>
        </w:rPr>
        <w:t>ей к категориям высокого, среднего, умеренного и низкого риска причинения вреда (ущерба) охраняемым законом ценностям. Данные объекты утверждены приказом Инспекции и размещены на официальном сайте Инспекции.</w:t>
      </w:r>
    </w:p>
    <w:p w14:paraId="6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проведения проверок 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</w:t>
      </w:r>
      <w:r>
        <w:rPr>
          <w:rFonts w:ascii="Times New Roman" w:hAnsi="Times New Roman"/>
          <w:sz w:val="28"/>
        </w:rPr>
        <w:t xml:space="preserve">ачами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2024 году являлись профилактика, предупреждение, выявление и пресечение н</w:t>
      </w:r>
      <w:r>
        <w:rPr>
          <w:rFonts w:ascii="Times New Roman" w:hAnsi="Times New Roman"/>
          <w:sz w:val="28"/>
        </w:rPr>
        <w:t>арушений обязательных требований законодательства.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требованиями части 5 статьи 8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31.07.2020 № 247-ФЗ «Об обязательных требованиях в Российской Федерации», пункта 3 части 3 статьи 46 Федерального закона № 248-ФЗ на о</w:t>
      </w:r>
      <w:r>
        <w:rPr>
          <w:rFonts w:ascii="Times New Roman" w:hAnsi="Times New Roman"/>
          <w:sz w:val="28"/>
        </w:rPr>
        <w:t xml:space="preserve">фициальном сайте Инспекции размещен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лицензионного контроля за осуществлением </w:t>
      </w:r>
      <w:r>
        <w:rPr>
          <w:rFonts w:ascii="Times New Roman" w:hAnsi="Times New Roman"/>
          <w:sz w:val="28"/>
        </w:rPr>
        <w:t>предпринимательской деятельностью за управлением многоквартирными домами.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о проведении контрольного (надзорного) мероприятия готовятся Инспекцией в соответствии с типовой формой, установленной приказом Минэкономразвития России от 31.03.2021 № 151 «</w:t>
      </w:r>
      <w:r>
        <w:rPr>
          <w:rFonts w:ascii="Times New Roman" w:hAnsi="Times New Roman"/>
          <w:sz w:val="28"/>
        </w:rPr>
        <w:t>О типовых формах документов, используемых контрольным (надзорным) органом».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единообразия при применении обязательных требований Инспекции основан на открытости ее деятельности, размещении на официальном сайте перечня нормативных правовых актов, сод</w:t>
      </w:r>
      <w:r>
        <w:rPr>
          <w:rFonts w:ascii="Times New Roman" w:hAnsi="Times New Roman"/>
          <w:sz w:val="28"/>
        </w:rPr>
        <w:t>ержащих обязательные требования, оценка соблюдения которых осуществляется в рамках лицензионного контроля.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Стимулирование добросовестного поведения обеспечивалось отнесением объектов лицензионного контроля к категориям риска причинения вреда (ущерба) охран</w:t>
      </w:r>
      <w:r>
        <w:rPr>
          <w:rFonts w:ascii="Times New Roman" w:hAnsi="Times New Roman"/>
          <w:sz w:val="28"/>
        </w:rPr>
        <w:t xml:space="preserve">яемым законом ценностям. 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№ 248-ФЗ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проведение профилактиче</w:t>
      </w:r>
      <w:r>
        <w:rPr>
          <w:rFonts w:ascii="Times New Roman" w:hAnsi="Times New Roman"/>
          <w:sz w:val="28"/>
        </w:rPr>
        <w:t>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профилактических мероприятий, которые проводятся при осуществлении регионального государст</w:t>
      </w:r>
      <w:r>
        <w:rPr>
          <w:rFonts w:ascii="Times New Roman" w:hAnsi="Times New Roman"/>
          <w:sz w:val="28"/>
        </w:rPr>
        <w:t>венного лицензионного контроля за осуществлением предпринимательской деятельности по управлению многоквартирными домами определяются Положением о контроле.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Положением о контроле Инспекция проводит следующие профилактические мероприятия: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информирование контролируемых и иных заинтересованных лиц по вопросам соблюдения обязательных требований;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обобщение правоприменительной практики;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объявление предостережения в случае наличия у Инспекции сведений о готовящихся нарушениях обязательных </w:t>
      </w:r>
      <w:r>
        <w:rPr>
          <w:rFonts w:ascii="Times New Roman" w:hAnsi="Times New Roman"/>
          <w:sz w:val="28"/>
        </w:rPr>
        <w:t>требований или признаках нарушений обязательных требований;</w:t>
      </w:r>
    </w:p>
    <w:p w14:paraId="7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консультирование контролируемых лиц и их представителей по вопросам, связанным с организацией и осуществлением государственного контроля (надзора);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проведение обязательного профилактического</w:t>
      </w:r>
      <w:r>
        <w:rPr>
          <w:rFonts w:ascii="Times New Roman" w:hAnsi="Times New Roman"/>
          <w:sz w:val="28"/>
        </w:rPr>
        <w:t xml:space="preserve"> визита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Контрольные (надзорные) мероприятия, профилактика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обобщения и анализа правоприменительной </w:t>
      </w:r>
      <w:r>
        <w:rPr>
          <w:rFonts w:ascii="Times New Roman" w:hAnsi="Times New Roman"/>
          <w:sz w:val="28"/>
        </w:rPr>
        <w:t>практики контрольно-надзорной деятельности Инспекцией за 2024 год выявлены наиболее часто нарушаемые подконтрольными субъектами нормативные и правовые акты: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№ 491;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№ 354;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№ 290;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№ 416.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огран</w:t>
      </w:r>
      <w:r>
        <w:rPr>
          <w:rFonts w:ascii="Times New Roman" w:hAnsi="Times New Roman"/>
          <w:sz w:val="28"/>
        </w:rPr>
        <w:t>ичения на проведение контрольных (надзорных) мероприятий, введенные постановлением № 336 не распространяются на контрольные (надзорные) мероприятия, проводимые без взаимодействия с контролируемыми лицами, в 2024 году большая часть работы Инспекции была нап</w:t>
      </w:r>
      <w:r>
        <w:rPr>
          <w:rFonts w:ascii="Times New Roman" w:hAnsi="Times New Roman"/>
          <w:sz w:val="28"/>
        </w:rPr>
        <w:t>равлена на проведение контрольных (надзорных) мероприятий без взаимодействия с контролируемыми лицами и профилактику нарушений обязательных требований, установленных законодательством в соответствующей сфере.</w:t>
      </w:r>
    </w:p>
    <w:p w14:paraId="81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4 статьи 52 Федеральног</w:t>
      </w:r>
      <w:r>
        <w:rPr>
          <w:rFonts w:ascii="Times New Roman" w:hAnsi="Times New Roman"/>
          <w:sz w:val="28"/>
        </w:rPr>
        <w:t xml:space="preserve">о закона № 248-ФЗ, Положением о контроле (надзоре) в отношении контролируемых лиц, Инспекцией проведено 27 профилактических визитов в целях информирования контролируемых лиц об обязательных требованиях, предъявляемых к их деятельности либо к принадлежащим </w:t>
      </w:r>
      <w:r>
        <w:rPr>
          <w:rFonts w:ascii="Times New Roman" w:hAnsi="Times New Roman"/>
          <w:sz w:val="28"/>
        </w:rPr>
        <w:t>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</w:t>
      </w:r>
      <w:r>
        <w:rPr>
          <w:rFonts w:ascii="Times New Roman" w:hAnsi="Times New Roman"/>
          <w:sz w:val="28"/>
        </w:rPr>
        <w:t xml:space="preserve"> отнесения к соответствующей категории риска.</w:t>
      </w:r>
    </w:p>
    <w:p w14:paraId="82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6 статьи 52 Федерального закона № 248-ФЗ одно контролируемое лицо уведомило Инспекцию об отказе от проведения обязательного профилактического визита.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Инспекцией проведено 77 </w:t>
      </w:r>
      <w:r>
        <w:rPr>
          <w:rFonts w:ascii="Times New Roman" w:hAnsi="Times New Roman"/>
          <w:sz w:val="28"/>
        </w:rPr>
        <w:t>контрольных (надзорных) мероприятий без взаимодействия с контролируемыми лицами в форме выездного обследования и наблюдения за соблюдением обязательных требований (мониторинг безопасности), 106 консультаций.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при осуществлении государственного р</w:t>
      </w:r>
      <w:r>
        <w:rPr>
          <w:rFonts w:ascii="Times New Roman" w:hAnsi="Times New Roman"/>
          <w:sz w:val="28"/>
        </w:rPr>
        <w:t>егионального лицензионного контроля за осуществлением предпринимательской деятельности по управлению многоквартирными домами контролируемым лицам объявлено 423 предостережения о недопустимости нарушения обязательных требований, 112 предписаний об устранени</w:t>
      </w:r>
      <w:r>
        <w:rPr>
          <w:rFonts w:ascii="Times New Roman" w:hAnsi="Times New Roman"/>
          <w:sz w:val="28"/>
        </w:rPr>
        <w:t>и нарушений.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юридических лиц, индивидуальных предпринимателей, осуществляющих деятельность по управлению многоквартирными домами, проведено 163 контрольно (надзорных) мероприятий с взаимодействием, в том числе 34 документарных проверки, 86 выез</w:t>
      </w:r>
      <w:r>
        <w:rPr>
          <w:rFonts w:ascii="Times New Roman" w:hAnsi="Times New Roman"/>
          <w:sz w:val="28"/>
        </w:rPr>
        <w:t>дных проверок, 43 инспекционных визита.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контрольно-надзорной деятельности в 2024 году Инспекцией обеспечено соблюдение прав юридических лиц и индивидуальных предпринимателей в соответствии с требованиями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248-ФЗ. 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системе досудебного обжалования в Типовом облачном решении по автоматизации контрольной (надзорной) деятельности поступило 3 жалобы от контролируемых лиц на решения, действия (бездействия) Инспекции, должностных лиц, по двум из которых решение контрольног</w:t>
      </w:r>
      <w:r>
        <w:rPr>
          <w:rFonts w:ascii="Times New Roman" w:hAnsi="Times New Roman"/>
          <w:sz w:val="28"/>
        </w:rPr>
        <w:t>о (надзорного) органа отменено частично, при рассмотрении третьей – жалоба оставлена без удовлетворения.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контрольно-надзорной деятельности Инспекции размещалась на официальном сайте Инспекции.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заявлениями и обращениями гр</w:t>
      </w:r>
      <w:r>
        <w:rPr>
          <w:rFonts w:ascii="Times New Roman" w:hAnsi="Times New Roman"/>
          <w:sz w:val="28"/>
        </w:rPr>
        <w:t>аждан,</w:t>
      </w:r>
    </w:p>
    <w:p w14:paraId="8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содержащими сведения о нарушении обязательных требований,</w:t>
      </w:r>
    </w:p>
    <w:p w14:paraId="8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причинении вреда или угрозе причинения вреда охраняемым</w:t>
      </w:r>
    </w:p>
    <w:p w14:paraId="8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ценностям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2024 года в Инспекцию поступило 2217 обращений и заявлений от граждан и юридических лиц.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Наибольшее количе</w:t>
      </w:r>
      <w:r>
        <w:rPr>
          <w:rFonts w:ascii="Times New Roman" w:hAnsi="Times New Roman"/>
          <w:sz w:val="28"/>
        </w:rPr>
        <w:t xml:space="preserve">ство обращений поступило от граждан, проживающих в городе Петропавловске-Камчатском – 1634 шт. или 73,71 % от общего количества заявлений, поступивших в отчетном периоде. От жителей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Вилючинска поступило – 75 обращений или 3,38 % от общего числа обращен</w:t>
      </w:r>
      <w:r>
        <w:rPr>
          <w:rFonts w:ascii="Times New Roman" w:hAnsi="Times New Roman"/>
          <w:sz w:val="28"/>
        </w:rPr>
        <w:t>ий и 290 заявлений, что составляет 13,08 %, – от граждан, проживающих в г. Елизово и Елизовском районе. Остальные 218 или 9,83 % обращений поступили от граждан, проживающих в отдаленных муниципальных образованиях Камчатского края.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тематике поступившие ж</w:t>
      </w:r>
      <w:r>
        <w:rPr>
          <w:rFonts w:ascii="Times New Roman" w:hAnsi="Times New Roman"/>
          <w:sz w:val="28"/>
        </w:rPr>
        <w:t>алобы можно классифицировать по следующим направлениям: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52,25 % от общего количества поступивших обращений касаются вопросов, связанных с нарушением требований к содержанию и ремонту общего имущества многоквартирного дома (1158 обращений);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22,94 % составляют жалобы, касающееся нарушений по режиму и качеству предоставления коммунальных услуг (509 обращений);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21,74 % касаются вопросов, связанных с нарушением порядка расчета размера платы за ЖКУ (482 обращения);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3,07 % касаются иных вопросов (6</w:t>
      </w:r>
      <w:r>
        <w:rPr>
          <w:rFonts w:ascii="Times New Roman" w:hAnsi="Times New Roman"/>
          <w:sz w:val="28"/>
        </w:rPr>
        <w:t>8 обращений).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 поступившие в Инспекцию обращения ответы направлялись в установленный законом срок. При наличии оснований в обязательном порядке проводились внеплановые проверки.</w:t>
      </w:r>
    </w:p>
    <w:p w14:paraId="9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к административной ответственности лиц</w:t>
      </w:r>
    </w:p>
    <w:p w14:paraId="9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административные </w:t>
      </w:r>
      <w:r>
        <w:rPr>
          <w:rFonts w:ascii="Times New Roman" w:hAnsi="Times New Roman"/>
          <w:sz w:val="28"/>
        </w:rPr>
        <w:t>правонарушения, выявленные</w:t>
      </w:r>
    </w:p>
    <w:p w14:paraId="9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проверок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по результатам контрольно-надзорной деятельности Инспекцией составлено 70 административных протоколов, из них: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– по ст.7.23.3 КоАП РФ (нарушение организациями правил осуществления предприни</w:t>
      </w:r>
      <w:r>
        <w:rPr>
          <w:rFonts w:ascii="Times New Roman" w:hAnsi="Times New Roman"/>
          <w:sz w:val="28"/>
        </w:rPr>
        <w:t>мательской деятельности по управлению многоквартирными домами);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 – по ст. 14.1.3 КоАП РФ (осуществление предпринимательской деятельности по управлению многоквартирными домами с нарушением лицензионных требований);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– по ст. 19.4.1 КоАП РФ (воспрепятство</w:t>
      </w:r>
      <w:r>
        <w:rPr>
          <w:rFonts w:ascii="Times New Roman" w:hAnsi="Times New Roman"/>
          <w:sz w:val="28"/>
        </w:rPr>
        <w:t>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</w:t>
      </w:r>
      <w:r>
        <w:rPr>
          <w:rFonts w:ascii="Times New Roman" w:hAnsi="Times New Roman"/>
          <w:sz w:val="28"/>
        </w:rPr>
        <w:t>о контроля);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 – по ст. 19.5 КоАП РФ (невыполнение в установленный срок законного предписания органа, осуществляющего региональный государственный жилищный надзор); 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– по ст. 20.25 КоАП РФ (уклонение от исполнения административного наказания);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– по ст</w:t>
      </w:r>
      <w:r>
        <w:rPr>
          <w:rFonts w:ascii="Times New Roman" w:hAnsi="Times New Roman"/>
          <w:sz w:val="28"/>
        </w:rPr>
        <w:t>. 9.16 КоАП РФ (нарушение законодательства об энергосбережении и о повышении энергетической эффективности).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Административные протоколы составлены в отношении 33 должностных и 37 юридических лиц.  </w:t>
      </w:r>
    </w:p>
    <w:p w14:paraId="A4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тяжести нарушений обязательных требований</w:t>
      </w:r>
    </w:p>
    <w:p w14:paraId="A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выбор о</w:t>
      </w:r>
      <w:r>
        <w:rPr>
          <w:rFonts w:ascii="Times New Roman" w:hAnsi="Times New Roman"/>
          <w:sz w:val="28"/>
        </w:rPr>
        <w:t>тветственности, к которой привлекается виновное лицо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выборе вида наказания и меры ответственности за совершение административного правонарушения должностные лица Инспекции руководствуются положениями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"consultantplus://offline/ref=66BC270C265BB7FA7ABA4C05955B53A4038D12CB73A20724DA0D7F110923XFG" \o "consultantplus://offline/ref=66BC270C265BB7FA7ABA4C05955B53A4038D12CB73A20724DA0D7F110923XFG"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КоАП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РФ: учитываются смягчающие и отягчающие административную ответственность обстоятельства, а также </w:t>
      </w:r>
      <w:r>
        <w:rPr>
          <w:rFonts w:ascii="Times New Roman" w:hAnsi="Times New Roman"/>
          <w:sz w:val="28"/>
        </w:rPr>
        <w:t>возможность замены административного штрафа предупреждением при впервые совершенном административном правонарушении.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Правоприменительная практика соблюдения</w:t>
      </w:r>
    </w:p>
    <w:p w14:paraId="A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обязательных требований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Типичными нарушениями, выявленными в ходе проверок при осуществлении </w:t>
      </w:r>
      <w:r>
        <w:rPr>
          <w:rFonts w:ascii="Times New Roman" w:hAnsi="Times New Roman"/>
          <w:sz w:val="28"/>
        </w:rPr>
        <w:t>регионального лицензионного контроля, являлись: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нарушение требований правил технической эксплуатации и ремонта жилищного фонда; 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нарушение нормативного уровня и режима предоставления коммунальных услуг населению; 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нарушение требований законодательства о раскрытии информации; 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нарушение порядка расчета внесения платы за жилищно-коммунальные услуги; 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нарушение правил управления многоквартирными домами;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нарушение лицензионных требований.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Заключительные пол</w:t>
      </w:r>
      <w:r>
        <w:rPr>
          <w:rFonts w:ascii="Times New Roman" w:hAnsi="Times New Roman"/>
          <w:sz w:val="28"/>
        </w:rPr>
        <w:t xml:space="preserve">ожения 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color w:val="252525"/>
          <w:sz w:val="28"/>
        </w:rPr>
      </w:pP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3 части 2 статьи 3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248-ФЗ постановлением Правительства Камчатского края от 11.02.2022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59-П утверждено Положение о региональном государственном лицензионном контроле за осуществлением предпринимате</w:t>
      </w:r>
      <w:r>
        <w:rPr>
          <w:rFonts w:ascii="Times New Roman" w:hAnsi="Times New Roman"/>
          <w:sz w:val="28"/>
        </w:rPr>
        <w:t>льской деятельности по управлению многоквартирными домами на территории Камчатского края. Этим же постановлением также утверждены Ключевые и Индикативные показатели регионального государственного лицензионного контроля за осуществлением предпринимательской</w:t>
      </w:r>
      <w:r>
        <w:rPr>
          <w:rFonts w:ascii="Times New Roman" w:hAnsi="Times New Roman"/>
          <w:sz w:val="28"/>
        </w:rPr>
        <w:t xml:space="preserve"> деятельности по управлению многоквартирными домами на территории Камчатского края.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Требованиями к профилактике нарушений обязательных требований, а также Правилами разработки и утверждения контрольными (надзорными) органами программы проф</w:t>
      </w:r>
      <w:r>
        <w:rPr>
          <w:rFonts w:ascii="Times New Roman" w:hAnsi="Times New Roman"/>
          <w:sz w:val="28"/>
        </w:rPr>
        <w:t>илактики рисков причинения вреда (ущерба) охраняемым законом ценностям, утвержденными постановлением Правительством Российской Федерации от 25.06.2021 № 990, приказом Инспекции от 17.12.2024 № 80 утверждена Программа профилактики рисков причинения вреда (у</w:t>
      </w:r>
      <w:r>
        <w:rPr>
          <w:rFonts w:ascii="Times New Roman" w:hAnsi="Times New Roman"/>
          <w:sz w:val="28"/>
        </w:rPr>
        <w:t>щерба) охраняемым законом ценностям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на 2025 год.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</w:t>
      </w:r>
      <w:r>
        <w:rPr>
          <w:rFonts w:ascii="Times New Roman" w:hAnsi="Times New Roman"/>
          <w:sz w:val="28"/>
        </w:rPr>
        <w:t>сайте Инспекции размещены и актуализированы: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обсуждения по правоприменительной практике;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актов и их отдельных частей (положений), содержащих обязательные требования, соблюдение которых оценивается при осуществлении Инспекцией регионально</w:t>
      </w:r>
      <w:r>
        <w:rPr>
          <w:rFonts w:ascii="Times New Roman" w:hAnsi="Times New Roman"/>
          <w:sz w:val="28"/>
        </w:rPr>
        <w:t>го государственного лицензионного контроля;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проверочных листов;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 по соблюдению обязательных требований, выполнение которых оценивается Инспекцией при осуществлении Инспекцией регионального государственного лицензионного контроля;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</w:t>
      </w:r>
      <w:r>
        <w:rPr>
          <w:rFonts w:ascii="Times New Roman" w:hAnsi="Times New Roman"/>
          <w:sz w:val="28"/>
        </w:rPr>
        <w:t>ющий перечень сведений, которые могут запрашиваться Инспекцией у контролируемых лиц;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порядке досудебного обжалования решений Инспекции, действий (бездействий) ее должностных лиц.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Ожидаемым результатом принятых Инспекцией в 2024 году мер являлось</w:t>
      </w:r>
      <w:r>
        <w:rPr>
          <w:rFonts w:ascii="Times New Roman" w:hAnsi="Times New Roman"/>
          <w:sz w:val="28"/>
        </w:rPr>
        <w:t xml:space="preserve"> снижение рисков причинения вреда охраняемым законом ценностям за счет повышения уровня информативности и мотивации к добросовестному поведению контролируемых субъектов.</w:t>
      </w:r>
    </w:p>
    <w:p w14:paraId="C1000000">
      <w:pPr>
        <w:rPr>
          <w:rFonts w:ascii="Times New Roman" w:hAnsi="Times New Roman"/>
          <w:color w:val="252525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ind/>
      <w:jc w:val="center"/>
    </w:pP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Endnote"/>
    <w:basedOn w:val="Style_6"/>
    <w:link w:val="Style_8_ch"/>
    <w:pPr>
      <w:spacing w:after="0" w:line="240" w:lineRule="auto"/>
      <w:ind/>
    </w:pPr>
    <w:rPr>
      <w:sz w:val="20"/>
    </w:rPr>
  </w:style>
  <w:style w:styleId="Style_8_ch" w:type="character">
    <w:name w:val="Endnote"/>
    <w:basedOn w:val="Style_6_ch"/>
    <w:link w:val="Style_8"/>
    <w:rPr>
      <w:sz w:val="20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Quote"/>
    <w:basedOn w:val="Style_6"/>
    <w:next w:val="Style_6"/>
    <w:link w:val="Style_10_ch"/>
    <w:pPr>
      <w:ind w:firstLine="0" w:left="720" w:right="720"/>
    </w:pPr>
    <w:rPr>
      <w:i w:val="1"/>
    </w:rPr>
  </w:style>
  <w:style w:styleId="Style_10_ch" w:type="character">
    <w:name w:val="Quote"/>
    <w:basedOn w:val="Style_6_ch"/>
    <w:link w:val="Style_10"/>
    <w:rPr>
      <w:i w:val="1"/>
    </w:rPr>
  </w:style>
  <w:style w:styleId="Style_11" w:type="paragraph">
    <w:name w:val="toc 2"/>
    <w:next w:val="Style_6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6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Heading"/>
    <w:link w:val="Style_13_ch"/>
  </w:style>
  <w:style w:styleId="Style_13_ch" w:type="character">
    <w:name w:val="TOC Heading"/>
    <w:link w:val="Style_13"/>
  </w:style>
  <w:style w:styleId="Style_14" w:type="paragraph">
    <w:name w:val="heading 7"/>
    <w:basedOn w:val="Style_6"/>
    <w:next w:val="Style_6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6_ch"/>
    <w:link w:val="Style_14"/>
    <w:rPr>
      <w:rFonts w:ascii="Arial" w:hAnsi="Arial"/>
      <w:b w:val="1"/>
      <w:i w:val="1"/>
    </w:rPr>
  </w:style>
  <w:style w:styleId="Style_15" w:type="paragraph">
    <w:name w:val="toc 6"/>
    <w:next w:val="Style_6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6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ing 3"/>
    <w:next w:val="Style_6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Heading 4 Char"/>
    <w:basedOn w:val="Style_20"/>
    <w:link w:val="Style_19_ch"/>
    <w:rPr>
      <w:rFonts w:ascii="Arial" w:hAnsi="Arial"/>
      <w:b w:val="1"/>
      <w:sz w:val="26"/>
    </w:rPr>
  </w:style>
  <w:style w:styleId="Style_19_ch" w:type="character">
    <w:name w:val="Heading 4 Char"/>
    <w:basedOn w:val="Style_20_ch"/>
    <w:link w:val="Style_19"/>
    <w:rPr>
      <w:rFonts w:ascii="Arial" w:hAnsi="Arial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1" w:type="paragraph">
    <w:name w:val="Heading 3 Char"/>
    <w:basedOn w:val="Style_20"/>
    <w:link w:val="Style_21_ch"/>
    <w:rPr>
      <w:rFonts w:ascii="Arial" w:hAnsi="Arial"/>
      <w:sz w:val="30"/>
    </w:rPr>
  </w:style>
  <w:style w:styleId="Style_21_ch" w:type="character">
    <w:name w:val="Heading 3 Char"/>
    <w:basedOn w:val="Style_20_ch"/>
    <w:link w:val="Style_21"/>
    <w:rPr>
      <w:rFonts w:ascii="Arial" w:hAnsi="Arial"/>
      <w:sz w:val="30"/>
    </w:rPr>
  </w:style>
  <w:style w:styleId="Style_22" w:type="paragraph">
    <w:name w:val="Footnote"/>
    <w:basedOn w:val="Style_6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6_ch"/>
    <w:link w:val="Style_22"/>
    <w:rPr>
      <w:sz w:val="18"/>
    </w:rPr>
  </w:style>
  <w:style w:styleId="Style_23" w:type="paragraph">
    <w:name w:val="heading 9"/>
    <w:basedOn w:val="Style_6"/>
    <w:next w:val="Style_6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6_ch"/>
    <w:link w:val="Style_23"/>
    <w:rPr>
      <w:rFonts w:ascii="Arial" w:hAnsi="Arial"/>
      <w:i w:val="1"/>
      <w:sz w:val="21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Header Char"/>
    <w:basedOn w:val="Style_20"/>
    <w:link w:val="Style_25_ch"/>
  </w:style>
  <w:style w:styleId="Style_25_ch" w:type="character">
    <w:name w:val="Header Char"/>
    <w:basedOn w:val="Style_20_ch"/>
    <w:link w:val="Style_25"/>
  </w:style>
  <w:style w:styleId="Style_26" w:type="paragraph">
    <w:name w:val="Знак сноски1"/>
    <w:basedOn w:val="Style_20"/>
    <w:link w:val="Style_26_ch"/>
    <w:rPr>
      <w:vertAlign w:val="superscript"/>
    </w:rPr>
  </w:style>
  <w:style w:styleId="Style_26_ch" w:type="character">
    <w:name w:val="Знак сноски1"/>
    <w:basedOn w:val="Style_20_ch"/>
    <w:link w:val="Style_26"/>
    <w:rPr>
      <w:vertAlign w:val="superscript"/>
    </w:rPr>
  </w:style>
  <w:style w:styleId="Style_27" w:type="paragraph">
    <w:name w:val="Heading 5 Char"/>
    <w:basedOn w:val="Style_20"/>
    <w:link w:val="Style_27_ch"/>
    <w:rPr>
      <w:rFonts w:ascii="Arial" w:hAnsi="Arial"/>
      <w:b w:val="1"/>
      <w:sz w:val="24"/>
    </w:rPr>
  </w:style>
  <w:style w:styleId="Style_27_ch" w:type="character">
    <w:name w:val="Heading 5 Char"/>
    <w:basedOn w:val="Style_20_ch"/>
    <w:link w:val="Style_27"/>
    <w:rPr>
      <w:rFonts w:ascii="Arial" w:hAnsi="Arial"/>
      <w:b w:val="1"/>
      <w:sz w:val="24"/>
    </w:rPr>
  </w:style>
  <w:style w:styleId="Style_28" w:type="paragraph">
    <w:name w:val="toc 3"/>
    <w:next w:val="Style_6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Heading 6 Char"/>
    <w:basedOn w:val="Style_20"/>
    <w:link w:val="Style_29_ch"/>
    <w:rPr>
      <w:rFonts w:ascii="Arial" w:hAnsi="Arial"/>
      <w:b w:val="1"/>
    </w:rPr>
  </w:style>
  <w:style w:styleId="Style_29_ch" w:type="character">
    <w:name w:val="Heading 6 Char"/>
    <w:basedOn w:val="Style_20_ch"/>
    <w:link w:val="Style_29"/>
    <w:rPr>
      <w:rFonts w:ascii="Arial" w:hAnsi="Arial"/>
      <w:b w:val="1"/>
    </w:rPr>
  </w:style>
  <w:style w:styleId="Style_30" w:type="paragraph">
    <w:name w:val="Intense Quote"/>
    <w:basedOn w:val="Style_6"/>
    <w:next w:val="Style_6"/>
    <w:link w:val="Style_30_ch"/>
    <w:pPr>
      <w:ind w:firstLine="0" w:left="720" w:right="720"/>
    </w:pPr>
    <w:rPr>
      <w:i w:val="1"/>
    </w:rPr>
  </w:style>
  <w:style w:styleId="Style_30_ch" w:type="character">
    <w:name w:val="Intense Quote"/>
    <w:basedOn w:val="Style_6_ch"/>
    <w:link w:val="Style_30"/>
    <w:rPr>
      <w:i w:val="1"/>
    </w:rPr>
  </w:style>
  <w:style w:styleId="Style_31" w:type="paragraph">
    <w:name w:val="Plain Text"/>
    <w:basedOn w:val="Style_6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6_ch"/>
    <w:link w:val="Style_31"/>
    <w:rPr>
      <w:rFonts w:ascii="Calibri" w:hAnsi="Calibri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Quote Char"/>
    <w:link w:val="Style_33_ch"/>
    <w:rPr>
      <w:i w:val="1"/>
    </w:rPr>
  </w:style>
  <w:style w:styleId="Style_33_ch" w:type="character">
    <w:name w:val="Quote Char"/>
    <w:link w:val="Style_33"/>
    <w:rPr>
      <w:i w:val="1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Balloon Text"/>
    <w:basedOn w:val="Style_6"/>
    <w:link w:val="Style_35_ch"/>
    <w:pPr>
      <w:spacing w:after="0" w:line="240" w:lineRule="auto"/>
      <w:ind/>
    </w:pPr>
    <w:rPr>
      <w:rFonts w:ascii="Segoe UI" w:hAnsi="Segoe UI"/>
      <w:sz w:val="18"/>
    </w:rPr>
  </w:style>
  <w:style w:styleId="Style_35_ch" w:type="character">
    <w:name w:val="Balloon Text"/>
    <w:basedOn w:val="Style_6_ch"/>
    <w:link w:val="Style_35"/>
    <w:rPr>
      <w:rFonts w:ascii="Segoe UI" w:hAnsi="Segoe UI"/>
      <w:sz w:val="18"/>
    </w:rPr>
  </w:style>
  <w:style w:styleId="Style_36" w:type="paragraph">
    <w:name w:val="heading 5"/>
    <w:next w:val="Style_6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6_ch" w:type="character">
    <w:name w:val="heading 5"/>
    <w:link w:val="Style_36"/>
    <w:rPr>
      <w:rFonts w:ascii="XO Thames" w:hAnsi="XO Thames"/>
      <w:b w:val="1"/>
    </w:rPr>
  </w:style>
  <w:style w:styleId="Style_37" w:type="paragraph">
    <w:name w:val="Intense Quote Char"/>
    <w:link w:val="Style_37_ch"/>
    <w:rPr>
      <w:i w:val="1"/>
    </w:rPr>
  </w:style>
  <w:style w:styleId="Style_37_ch" w:type="character">
    <w:name w:val="Intense Quote Char"/>
    <w:link w:val="Style_37"/>
    <w:rPr>
      <w:i w:val="1"/>
    </w:rPr>
  </w:style>
  <w:style w:styleId="Style_38" w:type="paragraph">
    <w:name w:val="Heading 8 Char"/>
    <w:basedOn w:val="Style_20"/>
    <w:link w:val="Style_38_ch"/>
    <w:rPr>
      <w:rFonts w:ascii="Arial" w:hAnsi="Arial"/>
      <w:i w:val="1"/>
    </w:rPr>
  </w:style>
  <w:style w:styleId="Style_38_ch" w:type="character">
    <w:name w:val="Heading 8 Char"/>
    <w:basedOn w:val="Style_20_ch"/>
    <w:link w:val="Style_38"/>
    <w:rPr>
      <w:rFonts w:ascii="Arial" w:hAnsi="Arial"/>
      <w:i w:val="1"/>
    </w:rPr>
  </w:style>
  <w:style w:styleId="Style_39" w:type="paragraph">
    <w:name w:val="heading 1"/>
    <w:next w:val="Style_6"/>
    <w:link w:val="Style_3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40" w:type="paragraph">
    <w:name w:val="Гиперссылка2"/>
    <w:link w:val="Style_40_ch"/>
    <w:rPr>
      <w:color w:val="0000FF"/>
      <w:u w:val="single"/>
    </w:rPr>
  </w:style>
  <w:style w:styleId="Style_40_ch" w:type="character">
    <w:name w:val="Гиперссылка2"/>
    <w:link w:val="Style_40"/>
    <w:rPr>
      <w:color w:val="0000FF"/>
      <w:u w:val="single"/>
    </w:rPr>
  </w:style>
  <w:style w:styleId="Style_41" w:type="paragraph">
    <w:name w:val="Heading 7 Char"/>
    <w:basedOn w:val="Style_20"/>
    <w:link w:val="Style_41_ch"/>
    <w:rPr>
      <w:rFonts w:ascii="Arial" w:hAnsi="Arial"/>
      <w:b w:val="1"/>
      <w:i w:val="1"/>
    </w:rPr>
  </w:style>
  <w:style w:styleId="Style_41_ch" w:type="character">
    <w:name w:val="Heading 7 Char"/>
    <w:basedOn w:val="Style_20_ch"/>
    <w:link w:val="Style_41"/>
    <w:rPr>
      <w:rFonts w:ascii="Arial" w:hAnsi="Arial"/>
      <w:b w:val="1"/>
      <w:i w:val="1"/>
    </w:rPr>
  </w:style>
  <w:style w:styleId="Style_42" w:type="paragraph">
    <w:name w:val="Subtitle Char"/>
    <w:basedOn w:val="Style_20"/>
    <w:link w:val="Style_42_ch"/>
    <w:rPr>
      <w:sz w:val="24"/>
    </w:rPr>
  </w:style>
  <w:style w:styleId="Style_42_ch" w:type="character">
    <w:name w:val="Subtitle Char"/>
    <w:basedOn w:val="Style_20_ch"/>
    <w:link w:val="Style_42"/>
    <w:rPr>
      <w:sz w:val="24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</w:rPr>
  </w:style>
  <w:style w:styleId="Style_44_ch" w:type="character">
    <w:name w:val="Footnote"/>
    <w:link w:val="Style_44"/>
    <w:rPr>
      <w:rFonts w:ascii="XO Thames" w:hAnsi="XO Thames"/>
    </w:rPr>
  </w:style>
  <w:style w:styleId="Style_45" w:type="paragraph">
    <w:name w:val="heading 8"/>
    <w:basedOn w:val="Style_6"/>
    <w:next w:val="Style_6"/>
    <w:link w:val="Style_4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5_ch" w:type="character">
    <w:name w:val="heading 8"/>
    <w:basedOn w:val="Style_6_ch"/>
    <w:link w:val="Style_45"/>
    <w:rPr>
      <w:rFonts w:ascii="Arial" w:hAnsi="Arial"/>
      <w:i w:val="1"/>
    </w:rPr>
  </w:style>
  <w:style w:styleId="Style_46" w:type="paragraph">
    <w:name w:val="toc 1"/>
    <w:next w:val="Style_6"/>
    <w:link w:val="Style_46_ch"/>
    <w:uiPriority w:val="39"/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caption"/>
    <w:basedOn w:val="Style_6"/>
    <w:next w:val="Style_6"/>
    <w:link w:val="Style_48_ch"/>
    <w:pPr>
      <w:spacing w:line="276" w:lineRule="auto"/>
      <w:ind/>
    </w:pPr>
    <w:rPr>
      <w:b w:val="1"/>
      <w:color w:themeColor="accent1" w:val="5B9BD5"/>
      <w:sz w:val="18"/>
    </w:rPr>
  </w:style>
  <w:style w:styleId="Style_48_ch" w:type="character">
    <w:name w:val="caption"/>
    <w:basedOn w:val="Style_6_ch"/>
    <w:link w:val="Style_48"/>
    <w:rPr>
      <w:b w:val="1"/>
      <w:color w:themeColor="accent1" w:val="5B9BD5"/>
      <w:sz w:val="18"/>
    </w:rPr>
  </w:style>
  <w:style w:styleId="Style_49" w:type="paragraph">
    <w:name w:val="Heading 1 Char"/>
    <w:basedOn w:val="Style_20"/>
    <w:link w:val="Style_49_ch"/>
    <w:rPr>
      <w:rFonts w:ascii="Arial" w:hAnsi="Arial"/>
      <w:sz w:val="40"/>
    </w:rPr>
  </w:style>
  <w:style w:styleId="Style_49_ch" w:type="character">
    <w:name w:val="Heading 1 Char"/>
    <w:basedOn w:val="Style_20_ch"/>
    <w:link w:val="Style_49"/>
    <w:rPr>
      <w:rFonts w:ascii="Arial" w:hAnsi="Arial"/>
      <w:sz w:val="40"/>
    </w:rPr>
  </w:style>
  <w:style w:styleId="Style_50" w:type="paragraph">
    <w:name w:val="toc 9"/>
    <w:next w:val="Style_6"/>
    <w:link w:val="Style_50_ch"/>
    <w:uiPriority w:val="39"/>
    <w:pPr>
      <w:ind w:firstLine="0" w:left="1600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List Paragraph"/>
    <w:basedOn w:val="Style_6"/>
    <w:link w:val="Style_51_ch"/>
    <w:pPr>
      <w:ind w:firstLine="0" w:left="720"/>
      <w:contextualSpacing w:val="1"/>
    </w:pPr>
  </w:style>
  <w:style w:styleId="Style_51_ch" w:type="character">
    <w:name w:val="List Paragraph"/>
    <w:basedOn w:val="Style_6_ch"/>
    <w:link w:val="Style_51"/>
  </w:style>
  <w:style w:styleId="Style_52" w:type="paragraph">
    <w:name w:val="Heading 2 Char"/>
    <w:basedOn w:val="Style_20"/>
    <w:link w:val="Style_52_ch"/>
    <w:rPr>
      <w:rFonts w:ascii="Arial" w:hAnsi="Arial"/>
      <w:sz w:val="34"/>
    </w:rPr>
  </w:style>
  <w:style w:styleId="Style_52_ch" w:type="character">
    <w:name w:val="Heading 2 Char"/>
    <w:basedOn w:val="Style_20_ch"/>
    <w:link w:val="Style_52"/>
    <w:rPr>
      <w:rFonts w:ascii="Arial" w:hAnsi="Arial"/>
      <w:sz w:val="34"/>
    </w:rPr>
  </w:style>
  <w:style w:styleId="Style_53" w:type="paragraph">
    <w:name w:val="table of figures"/>
    <w:basedOn w:val="Style_6"/>
    <w:next w:val="Style_6"/>
    <w:link w:val="Style_53_ch"/>
    <w:pPr>
      <w:spacing w:after="0"/>
      <w:ind/>
    </w:pPr>
  </w:style>
  <w:style w:styleId="Style_53_ch" w:type="character">
    <w:name w:val="table of figures"/>
    <w:basedOn w:val="Style_6_ch"/>
    <w:link w:val="Style_53"/>
  </w:style>
  <w:style w:styleId="Style_54" w:type="paragraph">
    <w:name w:val="Caption Char"/>
    <w:link w:val="Style_54_ch"/>
  </w:style>
  <w:style w:styleId="Style_54_ch" w:type="character">
    <w:name w:val="Caption Char"/>
    <w:link w:val="Style_54"/>
  </w:style>
  <w:style w:styleId="Style_55" w:type="paragraph">
    <w:name w:val="Знак концевой сноски1"/>
    <w:basedOn w:val="Style_20"/>
    <w:link w:val="Style_55_ch"/>
    <w:rPr>
      <w:vertAlign w:val="superscript"/>
    </w:rPr>
  </w:style>
  <w:style w:styleId="Style_55_ch" w:type="character">
    <w:name w:val="Знак концевой сноски1"/>
    <w:basedOn w:val="Style_20_ch"/>
    <w:link w:val="Style_55"/>
    <w:rPr>
      <w:vertAlign w:val="superscript"/>
    </w:rPr>
  </w:style>
  <w:style w:styleId="Style_56" w:type="paragraph">
    <w:name w:val="toc 8"/>
    <w:next w:val="Style_6"/>
    <w:link w:val="Style_56_ch"/>
    <w:uiPriority w:val="39"/>
    <w:pPr>
      <w:ind w:firstLine="0" w:left="1400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footer"/>
    <w:basedOn w:val="Style_6"/>
    <w:link w:val="Style_5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7_ch" w:type="character">
    <w:name w:val="footer"/>
    <w:basedOn w:val="Style_6_ch"/>
    <w:link w:val="Style_57"/>
    <w:rPr>
      <w:rFonts w:ascii="Times New Roman" w:hAnsi="Times New Roman"/>
      <w:sz w:val="28"/>
    </w:rPr>
  </w:style>
  <w:style w:styleId="Style_58" w:type="paragraph">
    <w:name w:val="Title Char"/>
    <w:basedOn w:val="Style_20"/>
    <w:link w:val="Style_58_ch"/>
    <w:rPr>
      <w:sz w:val="48"/>
    </w:rPr>
  </w:style>
  <w:style w:styleId="Style_58_ch" w:type="character">
    <w:name w:val="Title Char"/>
    <w:basedOn w:val="Style_20_ch"/>
    <w:link w:val="Style_58"/>
    <w:rPr>
      <w:sz w:val="48"/>
    </w:rPr>
  </w:style>
  <w:style w:styleId="Style_59" w:type="paragraph">
    <w:name w:val="Endnote Text Char"/>
    <w:link w:val="Style_59_ch"/>
    <w:rPr>
      <w:sz w:val="20"/>
    </w:rPr>
  </w:style>
  <w:style w:styleId="Style_59_ch" w:type="character">
    <w:name w:val="Endnote Text Char"/>
    <w:link w:val="Style_59"/>
    <w:rPr>
      <w:sz w:val="20"/>
    </w:rPr>
  </w:style>
  <w:style w:styleId="Style_60" w:type="paragraph">
    <w:name w:val="toc 5"/>
    <w:next w:val="Style_6"/>
    <w:link w:val="Style_60_ch"/>
    <w:uiPriority w:val="39"/>
    <w:pPr>
      <w:ind w:firstLine="0" w:left="800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Heading 9 Char"/>
    <w:basedOn w:val="Style_20"/>
    <w:link w:val="Style_61_ch"/>
    <w:rPr>
      <w:rFonts w:ascii="Arial" w:hAnsi="Arial"/>
      <w:i w:val="1"/>
      <w:sz w:val="21"/>
    </w:rPr>
  </w:style>
  <w:style w:styleId="Style_61_ch" w:type="character">
    <w:name w:val="Heading 9 Char"/>
    <w:basedOn w:val="Style_20_ch"/>
    <w:link w:val="Style_61"/>
    <w:rPr>
      <w:rFonts w:ascii="Arial" w:hAnsi="Arial"/>
      <w:i w:val="1"/>
      <w:sz w:val="21"/>
    </w:rPr>
  </w:style>
  <w:style w:styleId="Style_62" w:type="paragraph">
    <w:name w:val="Заголовок 5 Знак"/>
    <w:link w:val="Style_62_ch"/>
    <w:rPr>
      <w:rFonts w:ascii="XO Thames" w:hAnsi="XO Thames"/>
      <w:b w:val="1"/>
    </w:rPr>
  </w:style>
  <w:style w:styleId="Style_62_ch" w:type="character">
    <w:name w:val="Заголовок 5 Знак"/>
    <w:link w:val="Style_62"/>
    <w:rPr>
      <w:rFonts w:ascii="XO Thames" w:hAnsi="XO Thames"/>
      <w:b w:val="1"/>
    </w:rPr>
  </w:style>
  <w:style w:styleId="Style_63" w:type="paragraph">
    <w:name w:val="Гиперссылка1"/>
    <w:basedOn w:val="Style_34"/>
    <w:link w:val="Style_63_ch"/>
    <w:rPr>
      <w:color w:themeColor="hyperlink" w:val="0563C1"/>
      <w:u w:val="single"/>
    </w:rPr>
  </w:style>
  <w:style w:styleId="Style_63_ch" w:type="character">
    <w:name w:val="Гиперссылка1"/>
    <w:basedOn w:val="Style_34_ch"/>
    <w:link w:val="Style_63"/>
    <w:rPr>
      <w:color w:themeColor="hyperlink" w:val="0563C1"/>
      <w:u w:val="single"/>
    </w:rPr>
  </w:style>
  <w:style w:styleId="Style_64" w:type="paragraph">
    <w:name w:val="Subtitle"/>
    <w:next w:val="Style_6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65" w:type="paragraph">
    <w:name w:val="Footnote Text Char"/>
    <w:link w:val="Style_65_ch"/>
    <w:rPr>
      <w:sz w:val="18"/>
    </w:rPr>
  </w:style>
  <w:style w:styleId="Style_65_ch" w:type="character">
    <w:name w:val="Footnote Text Char"/>
    <w:link w:val="Style_65"/>
    <w:rPr>
      <w:sz w:val="18"/>
    </w:rPr>
  </w:style>
  <w:style w:styleId="Style_66" w:type="paragraph">
    <w:name w:val="Title"/>
    <w:next w:val="Style_6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next w:val="Style_6"/>
    <w:link w:val="Style_6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69" w:type="paragraph">
    <w:name w:val="heading 2"/>
    <w:next w:val="Style_6"/>
    <w:link w:val="Style_6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Footer Char"/>
    <w:basedOn w:val="Style_20"/>
    <w:link w:val="Style_70_ch"/>
  </w:style>
  <w:style w:styleId="Style_70_ch" w:type="character">
    <w:name w:val="Footer Char"/>
    <w:basedOn w:val="Style_20_ch"/>
    <w:link w:val="Style_70"/>
  </w:style>
  <w:style w:styleId="Style_71" w:type="paragraph">
    <w:name w:val="heading 6"/>
    <w:basedOn w:val="Style_6"/>
    <w:next w:val="Style_6"/>
    <w:link w:val="Style_7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1_ch" w:type="character">
    <w:name w:val="heading 6"/>
    <w:basedOn w:val="Style_6_ch"/>
    <w:link w:val="Style_71"/>
    <w:rPr>
      <w:rFonts w:ascii="Arial" w:hAnsi="Arial"/>
      <w:b w:val="1"/>
    </w:rPr>
  </w:style>
  <w:style w:styleId="Style_72" w:type="table">
    <w:name w:val="List Table 1 Light - Accent 6"/>
    <w:basedOn w:val="Style_4"/>
    <w:pPr>
      <w:spacing w:after="0" w:line="240" w:lineRule="auto"/>
      <w:ind/>
    </w:pPr>
  </w:style>
  <w:style w:styleId="Style_73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4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5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6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7" w:type="table">
    <w:name w:val="List Table 1 Light - Accent 5"/>
    <w:basedOn w:val="Style_4"/>
    <w:pPr>
      <w:spacing w:after="0" w:line="240" w:lineRule="auto"/>
      <w:ind/>
    </w:pPr>
  </w:style>
  <w:style w:styleId="Style_78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4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8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6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88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9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0" w:type="table">
    <w:name w:val="Plain Table 5"/>
    <w:basedOn w:val="Style_4"/>
    <w:pPr>
      <w:spacing w:after="0" w:line="240" w:lineRule="auto"/>
      <w:ind/>
    </w:pPr>
  </w:style>
  <w:style w:styleId="Style_91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5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6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7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" w:type="table">
    <w:name w:val="Сетка таблицы4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0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1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2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3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5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6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107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08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9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0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1" w:type="table">
    <w:name w:val="Plain Table 3"/>
    <w:basedOn w:val="Style_4"/>
    <w:pPr>
      <w:spacing w:after="0" w:line="240" w:lineRule="auto"/>
      <w:ind/>
    </w:pPr>
  </w:style>
  <w:style w:styleId="Style_112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3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List Table 1 Light - Accent 4"/>
    <w:basedOn w:val="Style_4"/>
    <w:pPr>
      <w:spacing w:after="0" w:line="240" w:lineRule="auto"/>
      <w:ind/>
    </w:pPr>
  </w:style>
  <w:style w:styleId="Style_115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6" w:type="table">
    <w:name w:val="List Table 1 Light"/>
    <w:basedOn w:val="Style_4"/>
    <w:pPr>
      <w:spacing w:after="0" w:line="240" w:lineRule="auto"/>
      <w:ind/>
    </w:pPr>
  </w:style>
  <w:style w:styleId="Style_117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8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9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120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2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24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5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26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7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8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9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0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1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2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4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35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136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7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9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0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1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2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3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4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6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7" w:type="table">
    <w:name w:val="Plain Table 4"/>
    <w:basedOn w:val="Style_4"/>
    <w:pPr>
      <w:spacing w:after="0" w:line="240" w:lineRule="auto"/>
      <w:ind/>
    </w:pPr>
  </w:style>
  <w:style w:styleId="Style_148" w:type="table">
    <w:name w:val="List Table 1 Light - Accent 1"/>
    <w:basedOn w:val="Style_4"/>
    <w:pPr>
      <w:spacing w:after="0" w:line="240" w:lineRule="auto"/>
      <w:ind/>
    </w:pPr>
  </w:style>
  <w:style w:styleId="Style_149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1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3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154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5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6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8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9" w:type="table">
    <w:name w:val="List Table 1 Light - Accent 2"/>
    <w:basedOn w:val="Style_4"/>
    <w:pPr>
      <w:spacing w:after="0" w:line="240" w:lineRule="auto"/>
      <w:ind/>
    </w:pPr>
  </w:style>
  <w:style w:styleId="Style_160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2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64" w:type="table">
    <w:name w:val="Сетка таблицы31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5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6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7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8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9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0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1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2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3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4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5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6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7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8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0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81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2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3" w:type="table">
    <w:name w:val="List Table 1 Light - Accent 3"/>
    <w:basedOn w:val="Style_4"/>
    <w:pPr>
      <w:spacing w:after="0" w:line="240" w:lineRule="auto"/>
      <w:ind/>
    </w:pPr>
  </w:style>
  <w:style w:styleId="Style_184" w:type="table">
    <w:name w:val="Сетка таблицы3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5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86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7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188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9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90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2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19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94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5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6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8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9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0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2025-02-21T04:39:06Z</dcterms:modified>
</cp:coreProperties>
</file>