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ГОСУДАРСТВЕННАЯ ЖИЛИЩНАЯ ИНСПЕКЦИЯ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Ind w:type="dxa" w:w="-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48"/>
      </w:tblGrid>
      <w:tr>
        <w:trPr>
          <w:trHeight w:hRule="atLeast" w:val="261"/>
        </w:trPr>
        <w:tc>
          <w:tcPr>
            <w:tcW w:type="dxa" w:w="424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D000000">
            <w:pPr>
              <w:spacing w:after="60"/>
              <w:ind/>
              <w:rPr>
                <w:rFonts w:ascii="Times New Roman" w:hAnsi="Times New Roman"/>
                <w:color w:themeColor="background1" w:val="FFFFFF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themeColor="background1" w:val="FFFFFF"/>
                <w:sz w:val="28"/>
              </w:rPr>
              <w:t>[Д</w:t>
            </w:r>
            <w:r>
              <w:rPr>
                <w:rFonts w:ascii="Times New Roman" w:hAnsi="Times New Roman"/>
                <w:color w:themeColor="background1" w:val="FFFFFF"/>
              </w:rPr>
              <w:t>ата регистрации] № [Номер документа]</w:t>
            </w:r>
            <w:bookmarkEnd w:id="1"/>
          </w:p>
        </w:tc>
      </w:tr>
    </w:tbl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395"/>
      </w:tblGrid>
      <w:tr>
        <w:tc>
          <w:tcPr>
            <w:tcW w:type="dxa" w:w="43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11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докладов о правоприменительной практике за 2024 год</w:t>
      </w:r>
    </w:p>
    <w:p w14:paraId="12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47 Федерального закона </w:t>
      </w:r>
      <w:r>
        <w:rPr>
          <w:rFonts w:ascii="Times New Roman" w:hAnsi="Times New Roman"/>
          <w:sz w:val="28"/>
        </w:rPr>
        <w:t>от 31.07.2020 № 248-ФЗ «О государственном контроле (надзоре) и муниципальном контроле в Российской Федерации» и абзацем третьим пункта 10 Правил осуществления государственного контроля (надзора) за соблюдением специализированными некоммерческими организаци</w:t>
      </w:r>
      <w:r>
        <w:rPr>
          <w:rFonts w:ascii="Times New Roman" w:hAnsi="Times New Roman"/>
          <w:sz w:val="28"/>
        </w:rPr>
        <w:t>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</w:t>
      </w:r>
      <w:r>
        <w:rPr>
          <w:rFonts w:ascii="Times New Roman" w:hAnsi="Times New Roman"/>
          <w:sz w:val="28"/>
        </w:rPr>
        <w:t>ческой эффективности, к использованию и сохранности жилищного фонда независимо от его формы собственности, утвержденных постановлением Правительства Российской Федерации от 28.09.2022 № 1702,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Доклад о правоприменительной практике п</w:t>
      </w:r>
      <w:r>
        <w:rPr>
          <w:rFonts w:ascii="Times New Roman" w:hAnsi="Times New Roman"/>
          <w:sz w:val="28"/>
        </w:rPr>
        <w:t xml:space="preserve">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Камчатского края Государственной жилищной инспекцией Камчатского края за 2024 год </w:t>
      </w:r>
      <w:r>
        <w:rPr>
          <w:rFonts w:ascii="Times New Roman" w:hAnsi="Times New Roman"/>
          <w:sz w:val="28"/>
        </w:rPr>
        <w:t>согласно приложению 1 к настоящему приказу.</w:t>
      </w:r>
    </w:p>
    <w:p w14:paraId="19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Доклад о правоприменительной практике при осуществлении регионального государственного жилищного контроля (надзора) на территории Камчатского края Государственной жилищной инспекцией Камчатского края за</w:t>
      </w:r>
      <w:r>
        <w:rPr>
          <w:rFonts w:ascii="Times New Roman" w:hAnsi="Times New Roman"/>
          <w:sz w:val="28"/>
        </w:rPr>
        <w:t xml:space="preserve"> 2024 год согласно приложению 2 к настоящему приказу.</w:t>
      </w:r>
    </w:p>
    <w:p w14:paraId="1A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Доклад о правоприменительной практике контрольной (надзорной) деятельности в рамках государственного контроля (надзора) за соблюдением – некоммерческой организации «Фонд капитального ремонта м</w:t>
      </w:r>
      <w:r>
        <w:rPr>
          <w:rFonts w:ascii="Times New Roman" w:hAnsi="Times New Roman"/>
          <w:sz w:val="28"/>
        </w:rPr>
        <w:t>ногоквартирных домов Камчатского края» деятельности, направленной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</w:t>
      </w:r>
      <w:r>
        <w:rPr>
          <w:rFonts w:ascii="Times New Roman" w:hAnsi="Times New Roman"/>
          <w:sz w:val="28"/>
        </w:rPr>
        <w:t>ении энергетической эффективности, к использованию и сохранности жилищного фонда независимо от его формы собственности на территории Камчатского края Государственной жилищной инспекцией Камчатского края за 2024 год согласно приложению 3 к настоящему приказ</w:t>
      </w:r>
      <w:r>
        <w:rPr>
          <w:rFonts w:ascii="Times New Roman" w:hAnsi="Times New Roman"/>
          <w:sz w:val="28"/>
        </w:rPr>
        <w:t>у.</w:t>
      </w:r>
    </w:p>
    <w:p w14:paraId="1B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Начальнику отдела лицензирования, правовой и аналитической деятельности Государственной жилищной инспекции Камчатского края разместить настоящий приказ на странице Государственной жилищной инспекции Камчатского края официального сайта исполнительных орг</w:t>
      </w:r>
      <w:r>
        <w:rPr>
          <w:rFonts w:ascii="Times New Roman" w:hAnsi="Times New Roman"/>
          <w:sz w:val="28"/>
        </w:rPr>
        <w:t>анов Камчатского края в информационно-телекоммуникационной сети «Интернет».</w:t>
      </w:r>
    </w:p>
    <w:p w14:paraId="1C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настоящего приказа оставляю за собой.</w:t>
      </w:r>
    </w:p>
    <w:p w14:paraId="1D000000">
      <w:pPr>
        <w:spacing w:after="0" w:line="360" w:lineRule="auto"/>
        <w:ind w:firstLine="1" w:left="708"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3543"/>
        <w:gridCol w:w="3826"/>
        <w:gridCol w:w="2268"/>
      </w:tblGrid>
      <w:tr>
        <w:trPr>
          <w:trHeight w:hRule="atLeast" w:val="665"/>
        </w:trPr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ВрИО руководителя Инспекции – главного государственного</w:t>
            </w:r>
          </w:p>
          <w:p w14:paraId="1F000000">
            <w:pPr>
              <w:spacing w:after="0" w:line="240" w:lineRule="auto"/>
              <w:ind w:hanging="4" w:left="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жилищного инспектора</w:t>
            </w:r>
          </w:p>
          <w:p w14:paraId="20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3826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-116"/>
              <w:rPr>
                <w:rFonts w:ascii="Times New Roman" w:hAnsi="Times New Roman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D9D9D9"/>
                <w:sz w:val="24"/>
              </w:rPr>
              <w:t>[горизонтальный штамп п</w:t>
            </w:r>
            <w:r>
              <w:rPr>
                <w:rFonts w:ascii="Times New Roman" w:hAnsi="Times New Roman"/>
                <w:color w:val="D9D9D9"/>
                <w:sz w:val="24"/>
              </w:rPr>
              <w:t>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  <w:vAlign w:val="bottom"/>
          </w:tcPr>
          <w:p w14:paraId="22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Э.М. Кравченко</w:t>
            </w:r>
          </w:p>
        </w:tc>
      </w:tr>
    </w:tbl>
    <w:p w14:paraId="2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6000000">
      <w:pPr>
        <w:spacing w:after="0" w:line="240" w:lineRule="auto"/>
        <w:ind w:firstLine="0"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 к приказу </w:t>
      </w:r>
    </w:p>
    <w:tbl>
      <w:tblPr>
        <w:tblStyle w:val="Style_5"/>
        <w:tblInd w:type="dxa" w:w="521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03"/>
        <w:gridCol w:w="1838"/>
        <w:gridCol w:w="407"/>
        <w:gridCol w:w="1776"/>
      </w:tblGrid>
      <w:tr>
        <w:tc>
          <w:tcPr>
            <w:tcW w:type="dxa" w:w="40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spacing w:after="60" w:line="264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spacing w:after="6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</w:rPr>
              <w:t>EGDATESTAMP]</w:t>
            </w:r>
          </w:p>
        </w:tc>
        <w:tc>
          <w:tcPr>
            <w:tcW w:type="dxa" w:w="40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after="60" w:line="264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7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after="6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</w:rPr>
              <w:t>EGN</w:t>
            </w:r>
            <w:r>
              <w:rPr>
                <w:rFonts w:ascii="Times New Roman" w:hAnsi="Times New Roman"/>
                <w:color w:themeColor="background1" w:val="FFFFFF"/>
              </w:rPr>
              <w:t>UMSTAMP]</w:t>
            </w:r>
          </w:p>
        </w:tc>
      </w:tr>
    </w:tbl>
    <w:p w14:paraId="2B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правоприменительной практике контрольной (надзорной) деятельности в рамках государственного контроля (надзора) за соблюдением – некоммерческой организации «Фонд капитального ремонта многоквартирных домов Камчатского края» деятельности, </w:t>
      </w:r>
      <w:r>
        <w:rPr>
          <w:rFonts w:ascii="Times New Roman" w:hAnsi="Times New Roman"/>
          <w:sz w:val="28"/>
        </w:rPr>
        <w:t xml:space="preserve">направленной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</w:t>
      </w:r>
      <w:r>
        <w:rPr>
          <w:rFonts w:ascii="Times New Roman" w:hAnsi="Times New Roman"/>
          <w:sz w:val="28"/>
        </w:rPr>
        <w:t>сохранности жилищного фонда независимо от его формы собственности на территории Камчатского края Государственной жилищной инспекцией Камчатского края за 2024 год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контрольной (надзорной) деятельности в рамках нового законодательства</w:t>
      </w:r>
    </w:p>
    <w:p w14:paraId="3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силу пункт</w:t>
      </w:r>
      <w:r>
        <w:rPr>
          <w:rFonts w:ascii="Times New Roman" w:hAnsi="Times New Roman"/>
          <w:sz w:val="28"/>
        </w:rPr>
        <w:t xml:space="preserve">а 13 части 4 статьи 2 Федерального закона от 31.07.2020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248-ФЗ «О государственном контроле (надзоре) и муниципальном контроле в Российской Федерации» (далее – Федеральный закон № 248-ФЗ) положения Федерального закона № 248-ФЗ не применяются в отношении </w:t>
      </w:r>
      <w:r>
        <w:rPr>
          <w:rFonts w:ascii="Times New Roman" w:hAnsi="Times New Roman"/>
          <w:sz w:val="28"/>
        </w:rPr>
        <w:t>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</w:t>
      </w:r>
      <w:r>
        <w:rPr>
          <w:rFonts w:ascii="Times New Roman" w:hAnsi="Times New Roman"/>
          <w:sz w:val="28"/>
        </w:rPr>
        <w:t>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 (далее – государственный контроль (надзор).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</w:t>
      </w:r>
      <w:r>
        <w:rPr>
          <w:rFonts w:ascii="Times New Roman" w:hAnsi="Times New Roman"/>
          <w:sz w:val="28"/>
        </w:rPr>
        <w:t>в части 15 статьи 20 Жилищного кодекса Российской Федерации (далее – ЖК РФ) закреплено, что государственный контроль (надзор) за соблюдением региональными операторами требований, установленных жилищным законодательством, законодательством об энергосбережен</w:t>
      </w:r>
      <w:r>
        <w:rPr>
          <w:rFonts w:ascii="Times New Roman" w:hAnsi="Times New Roman"/>
          <w:sz w:val="28"/>
        </w:rPr>
        <w:t>ии и о повышении энергетической эффективности,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порядке, установленном Правительством Российской Федерации.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</w:t>
      </w:r>
      <w:r>
        <w:rPr>
          <w:rFonts w:ascii="Times New Roman" w:hAnsi="Times New Roman"/>
          <w:sz w:val="28"/>
        </w:rPr>
        <w:t xml:space="preserve">ановлением Правительства Российской Федерации от 28.09.2022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1702 утверждены Правила осуществления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</w:t>
      </w:r>
      <w:r>
        <w:rPr>
          <w:rFonts w:ascii="Times New Roman" w:hAnsi="Times New Roman"/>
          <w:sz w:val="28"/>
        </w:rPr>
        <w:t>ого фонда независимо от его формы собственности (далее – Правила № 1702).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 о правоприменительной практике, как элемент профилактической работы, предусмотренный Правилами РФ № 1702, подготовлен в целях повышения уровня осведомленности контролируемых л</w:t>
      </w:r>
      <w:r>
        <w:rPr>
          <w:rFonts w:ascii="Times New Roman" w:hAnsi="Times New Roman"/>
          <w:sz w:val="28"/>
        </w:rPr>
        <w:t>иц о целях и задачах контроля (надзора), а также предупреждения нарушений контролируемыми лицами обязательных требований, устранения причин, факторов и условий, способствующих нарушениям обязательных требований.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государственного контроля (надзора</w:t>
      </w:r>
      <w:r>
        <w:rPr>
          <w:rFonts w:ascii="Times New Roman" w:hAnsi="Times New Roman"/>
          <w:sz w:val="28"/>
        </w:rPr>
        <w:t>) является соблюдение региональным оператором следующих требований: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требования к подготовке и направлению собственникам помещений в многоквартирном доме предложений о сроке начала капитального ремонта, необходимом перечне и объеме услуг и (или) работ, и</w:t>
      </w:r>
      <w:r>
        <w:rPr>
          <w:rFonts w:ascii="Times New Roman" w:hAnsi="Times New Roman"/>
          <w:sz w:val="28"/>
        </w:rPr>
        <w:t>х стоимости, порядке и источниках финансирования капитального ремонта и других предложений, связанных с проведением такого капитального ремонта;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требования к обеспечению проведения капитального ремонта в отношении многоквартирного дома, собственники пом</w:t>
      </w:r>
      <w:r>
        <w:rPr>
          <w:rFonts w:ascii="Times New Roman" w:hAnsi="Times New Roman"/>
          <w:sz w:val="28"/>
        </w:rPr>
        <w:t>ещений в котором формируют фонд капитального ремонта на счете регионального оператора, в сроки, предусмотренные региональной программой капитального ремонта общего имущества в многоквартирном доме (далее – региональная программа капитального ремонта) и кон</w:t>
      </w:r>
      <w:r>
        <w:rPr>
          <w:rFonts w:ascii="Times New Roman" w:hAnsi="Times New Roman"/>
          <w:sz w:val="28"/>
        </w:rPr>
        <w:t>кретизированные в краткосрочном плане реализации региональной программы капитального ремонта;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требования к осуществлению приемки оказанных услуг и (или) выполненных работ по капитальному ремонту, в том числе к обеспечению создания соответствующих комисс</w:t>
      </w:r>
      <w:r>
        <w:rPr>
          <w:rFonts w:ascii="Times New Roman" w:hAnsi="Times New Roman"/>
          <w:sz w:val="28"/>
        </w:rPr>
        <w:t>ий с участием представителей исполнительных органов субъектов Российской Федерации, ответственных за реализацию региональных программ капитального ремонта и (или) краткосрочных планов их реализации, и (или) органов местного самоуправления, лиц, осуществляю</w:t>
      </w:r>
      <w:r>
        <w:rPr>
          <w:rFonts w:ascii="Times New Roman" w:hAnsi="Times New Roman"/>
          <w:sz w:val="28"/>
        </w:rPr>
        <w:t>щих управление многоквартирным домом, и представителей собственников помещений в многоквартирном доме;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требования к контролю качества и сроков оказания услуг и (или) выполнения работ по капитальному ремонту подрядными организациями и соответствия таких </w:t>
      </w:r>
      <w:r>
        <w:rPr>
          <w:rFonts w:ascii="Times New Roman" w:hAnsi="Times New Roman"/>
          <w:sz w:val="28"/>
        </w:rPr>
        <w:t>услуг и (или) работ требованиям проектной документации;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требования к качеству оказанных услуг и (или) выполненных работ по капитальному ремонту в течение не менее 5 лет с момента подписания соответствующего акта приемки оказанных услуг и (или) выполненн</w:t>
      </w:r>
      <w:r>
        <w:rPr>
          <w:rFonts w:ascii="Times New Roman" w:hAnsi="Times New Roman"/>
          <w:sz w:val="28"/>
        </w:rPr>
        <w:t>ых работ;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требования к представлению своими силами или силами третьих лиц собственнику помещения в многоквартирном доме платежных документов для уплаты взносов на капитальный ремонт по адресу нахождения помещения в многоквартирном доме, за капитальный р</w:t>
      </w:r>
      <w:r>
        <w:rPr>
          <w:rFonts w:ascii="Times New Roman" w:hAnsi="Times New Roman"/>
          <w:sz w:val="28"/>
        </w:rPr>
        <w:t xml:space="preserve">емонт в котором вносится взнос на </w:t>
      </w:r>
      <w:r>
        <w:rPr>
          <w:rFonts w:ascii="Times New Roman" w:hAnsi="Times New Roman"/>
          <w:sz w:val="28"/>
        </w:rPr>
        <w:t>капитальный ремонт, и принятию установленных законодательством мер в отношении собственников помещений в многоквартирном доме, формирующих фонд капитального ремонта на счете регионального оператора, в случае несвоевременно</w:t>
      </w:r>
      <w:r>
        <w:rPr>
          <w:rFonts w:ascii="Times New Roman" w:hAnsi="Times New Roman"/>
          <w:sz w:val="28"/>
        </w:rPr>
        <w:t>й и (или) неполной уплаты ими взносов на капитальный ремонт;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требования к размещению информации об исполнении своих обязанностей по организации проведения капитального ремонта в государственной информационной системе жилищно-коммунального хозяйства в со</w:t>
      </w:r>
      <w:r>
        <w:rPr>
          <w:rFonts w:ascii="Times New Roman" w:hAnsi="Times New Roman"/>
          <w:sz w:val="28"/>
        </w:rPr>
        <w:t>ответствии с законодательством Российской Федерации;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требования к обеспечению подготовки задания на оказание услуг и (или) выполнение работ по капитальному ремонту и при необходимости подготовки проектной документации на проведение капитального ремонта,</w:t>
      </w:r>
      <w:r>
        <w:rPr>
          <w:rFonts w:ascii="Times New Roman" w:hAnsi="Times New Roman"/>
          <w:sz w:val="28"/>
        </w:rPr>
        <w:t xml:space="preserve"> утверждению проектной документации и обеспечению ее качества и соответствия требованиям технических регламентов, стандартов и других нормативных документов;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требования к обеспечению установления фактов воспрепятствования проведению работ по капитальном</w:t>
      </w:r>
      <w:r>
        <w:rPr>
          <w:rFonts w:ascii="Times New Roman" w:hAnsi="Times New Roman"/>
          <w:sz w:val="28"/>
        </w:rPr>
        <w:t>у ремонту, в том числе недопуска собственником, лицом, осуществляющим управление многоквартирным домом, либо лицом, выполняющим работы по содержанию и ремонту общего имущества в многоквартирном доме, подрядной организации к проведению таких работ;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</w:t>
      </w:r>
      <w:r>
        <w:rPr>
          <w:rFonts w:ascii="Times New Roman" w:hAnsi="Times New Roman"/>
          <w:sz w:val="28"/>
        </w:rPr>
        <w:t>ования к осуществлению капитального ремонта в объеме, необходимом для ликвидации последствий, возникших вследствие аварии, иных чрезвычайных ситуаций природного или техногенного характера, в случае возникновения таких аварии и ситуаций;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требования к пе</w:t>
      </w:r>
      <w:r>
        <w:rPr>
          <w:rFonts w:ascii="Times New Roman" w:hAnsi="Times New Roman"/>
          <w:sz w:val="28"/>
        </w:rPr>
        <w:t>редаче лицу, осуществляющему управление многоквартирным домом, в котором проведен капитальный ремонт, копий документов о проведенном капитальном ремонте (в том числе копий проектной, сметной документации, договоров об оказании услуг и (или) о выполнении ра</w:t>
      </w:r>
      <w:r>
        <w:rPr>
          <w:rFonts w:ascii="Times New Roman" w:hAnsi="Times New Roman"/>
          <w:sz w:val="28"/>
        </w:rPr>
        <w:t>бот по капитальному ремонту, актов приемки оказанных услуг и (или) выполненных работ) и иных документов, связанных с проведением капитального ремонта, за исключением финансовых документов;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требования, установленные законодательством об энергосбережении</w:t>
      </w:r>
      <w:r>
        <w:rPr>
          <w:rFonts w:ascii="Times New Roman" w:hAnsi="Times New Roman"/>
          <w:sz w:val="28"/>
        </w:rPr>
        <w:t xml:space="preserve"> и о повышении энергетической эффективности.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Объектами контроля (надзора) являются деятельность, действия (бездействие) регионального оператора, в рамках которых должны соблюдаться обязательные требования.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Распоряжением Правительства Камчатского края от </w:t>
      </w:r>
      <w:r>
        <w:rPr>
          <w:rFonts w:ascii="Times New Roman" w:hAnsi="Times New Roman"/>
          <w:sz w:val="28"/>
        </w:rPr>
        <w:t xml:space="preserve">15.07.2013 № 326-РП создана некоммерческая организация «Фонд капитального ремонта многоквартирных домов Камчатского края» в организационно-правовой форме – фонд (далее – Фонд), а также определено, что основной целью деятельности Фонда является обеспечение </w:t>
      </w:r>
      <w:r>
        <w:rPr>
          <w:rFonts w:ascii="Times New Roman" w:hAnsi="Times New Roman"/>
          <w:sz w:val="28"/>
        </w:rPr>
        <w:t>проведения капитального ремонта общего имущества в многоквартирных домах в Камчатском крае – региональным оператором (далее – региональный оператор).</w:t>
      </w:r>
    </w:p>
    <w:p w14:paraId="45000000">
      <w:p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осуществления регионального государственного контроля (надзора)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государственного кон</w:t>
      </w:r>
      <w:r>
        <w:rPr>
          <w:rFonts w:ascii="Times New Roman" w:hAnsi="Times New Roman"/>
          <w:sz w:val="28"/>
        </w:rPr>
        <w:t>троля (надзора) осуществляются: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профилактические мероприятия: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обобщение правоприменительной практики;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объявление предостережения о недопустимости нарушения требований;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профилактический визит;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контрольные (надзорные) мероприятия: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предусмат</w:t>
      </w:r>
      <w:r>
        <w:rPr>
          <w:rFonts w:ascii="Times New Roman" w:hAnsi="Times New Roman"/>
          <w:sz w:val="28"/>
        </w:rPr>
        <w:t>ривающие взаимодействие с региональным оператором на плановой и внеплановой основе: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документарная проверка;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выездная проверка;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осуществляемые без взаимодействия с региональным оператором: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наблюдение за соблюдением требований;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выездное обследование.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случае если по результатам проведения контрольного (надзорного) мероприятия выявлено нарушение региональным оператором требований, органом государственного жилищного надзора выдается предписание об устранении в 30-дневный срок выявленных нарушений, которое</w:t>
      </w:r>
      <w:r>
        <w:rPr>
          <w:rFonts w:ascii="Times New Roman" w:hAnsi="Times New Roman"/>
          <w:sz w:val="28"/>
        </w:rPr>
        <w:t xml:space="preserve"> является приложением к акту.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основными задачами государственного контроля (надзора) являлись: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 внедрение новых средств коммуникации и методов взаимодействия с региональным оператором при осуществлении государственного контроля (н</w:t>
      </w:r>
      <w:r>
        <w:rPr>
          <w:rFonts w:ascii="Times New Roman" w:hAnsi="Times New Roman"/>
          <w:sz w:val="28"/>
        </w:rPr>
        <w:t>адзора);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одинакового понимания обязательных требований в подконтрольной сфере;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</w:t>
      </w:r>
      <w:r>
        <w:rPr>
          <w:rFonts w:ascii="Times New Roman" w:hAnsi="Times New Roman"/>
          <w:sz w:val="28"/>
        </w:rPr>
        <w:t>в устранения или снижения рисков их возникновения;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планирования и проведения профилак</w:t>
      </w:r>
      <w:r>
        <w:rPr>
          <w:rFonts w:ascii="Times New Roman" w:hAnsi="Times New Roman"/>
          <w:sz w:val="28"/>
        </w:rPr>
        <w:t>тических мероприятий на основе принципов их понятности, информационной открытости, а также обязательности, актуальности, периодичности профилактических мероприятий;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перечня видов и сбор статистических данных, необходимых для организации профила</w:t>
      </w:r>
      <w:r>
        <w:rPr>
          <w:rFonts w:ascii="Times New Roman" w:hAnsi="Times New Roman"/>
          <w:sz w:val="28"/>
        </w:rPr>
        <w:t>ктической работы;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доверия к региональному оператору.</w:t>
      </w:r>
    </w:p>
    <w:p w14:paraId="5D000000">
      <w:p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</w:p>
    <w:p w14:paraId="5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Результаты проведения профилактических мероприятий</w:t>
      </w:r>
    </w:p>
    <w:p w14:paraId="5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0000000">
      <w:p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стимулирования добросовестного соблюдения региональным оператором требований, устранения условий, причин и факторов, способных привести к нарушению требований и (или) причинению вреда (ущерба) охраняемым законом ценностям, а также в целях создания </w:t>
      </w:r>
      <w:r>
        <w:rPr>
          <w:rFonts w:ascii="Times New Roman" w:hAnsi="Times New Roman"/>
          <w:sz w:val="28"/>
        </w:rPr>
        <w:t>условий для доведения требований до региональных операторов и повышения информированности о способах их соблюдения при осуществлении контроля (надзора) проводятся профилактические мероприятия в соответствии с ежегодно утверждаемой программой профилактики р</w:t>
      </w:r>
      <w:r>
        <w:rPr>
          <w:rFonts w:ascii="Times New Roman" w:hAnsi="Times New Roman"/>
          <w:sz w:val="28"/>
        </w:rPr>
        <w:t>исков причинения вреда (ущерба) охраняемым законом ценностям.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Государственной жилищной инспекции Камчатского края (далее – Инспекция) № 82 от 17.12.2023 утверждена Программа профилактики рисков причинения вреда (ущерба) охраняемым законом ценностя</w:t>
      </w:r>
      <w:r>
        <w:rPr>
          <w:rFonts w:ascii="Times New Roman" w:hAnsi="Times New Roman"/>
          <w:sz w:val="28"/>
        </w:rPr>
        <w:t>м при осуществлении государственного контроля (надзора) за соблюдением некоммерческой организацией «Фонд капитального ремонта многоквартирных домов Камчатского края» требований, установленных жилищным законодательством, законодательством об энергосбережени</w:t>
      </w:r>
      <w:r>
        <w:rPr>
          <w:rFonts w:ascii="Times New Roman" w:hAnsi="Times New Roman"/>
          <w:sz w:val="28"/>
        </w:rPr>
        <w:t>и и о повышении энергетической эффективности, к использованию и сохранности жилищного фонда независимо от его формы собственности на 2025 год.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контрольных мероприятий</w:t>
      </w:r>
    </w:p>
    <w:p w14:paraId="6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государственного контроля (надзора) ориентировано н</w:t>
      </w:r>
      <w:r>
        <w:rPr>
          <w:rFonts w:ascii="Times New Roman" w:hAnsi="Times New Roman"/>
          <w:sz w:val="28"/>
        </w:rPr>
        <w:t>а достижение главной цели – соблюдения региональным оператором обязательных требований.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В Правилах № 1702 исчерпывающе определен предмет контроля (надзора), профилактические мероприятия (обобщение правоприменительной практики; объявление предостережения о </w:t>
      </w:r>
      <w:r>
        <w:rPr>
          <w:rFonts w:ascii="Times New Roman" w:hAnsi="Times New Roman"/>
          <w:spacing w:val="-2"/>
          <w:sz w:val="28"/>
        </w:rPr>
        <w:t xml:space="preserve">недопустимости нарушения требований; профилактический визит), контрольные (надзорные) мероприятия (предусматривающие взаимодействие с региональным оператором на плановой (на основании плана-графика) и внеплановой основе: документарная и выездная проверка; </w:t>
      </w:r>
      <w:r>
        <w:rPr>
          <w:rFonts w:ascii="Times New Roman" w:hAnsi="Times New Roman"/>
          <w:spacing w:val="-2"/>
          <w:sz w:val="28"/>
        </w:rPr>
        <w:t>осуществляемые без взаимодействия с региональным оператором: наблюдение за соблюдением требований; выездное обследование) и действия, которые могут осуществляться в отношении регионального оператора.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2024 год в Инспекцию поступали обращения граждан и ор</w:t>
      </w:r>
      <w:r>
        <w:rPr>
          <w:rFonts w:ascii="Times New Roman" w:hAnsi="Times New Roman"/>
          <w:sz w:val="28"/>
        </w:rPr>
        <w:t>ганизаций, по которым, руководствуясь Правилами № 1702, Инспекцией проведено 1 контрольно (надзорное) мероприятие без взаимодействия с контролируемыми лицами в форме выездного обследования.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Проведено 6 контрольно (надзорных) мероприятий с взаимодействием, </w:t>
      </w:r>
      <w:r>
        <w:rPr>
          <w:rFonts w:ascii="Times New Roman" w:hAnsi="Times New Roman"/>
          <w:sz w:val="28"/>
        </w:rPr>
        <w:t>в том числе 1 документарная проверка, 5 выездных проверок.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Объявлено 5 предостережений о недопустимости нарушения обязательных требований, выдано 1 предписание об устранении нарушений.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разделом V Правил № 1702 региональный оператор обладае</w:t>
      </w:r>
      <w:r>
        <w:rPr>
          <w:rFonts w:ascii="Times New Roman" w:hAnsi="Times New Roman"/>
          <w:sz w:val="28"/>
        </w:rPr>
        <w:t xml:space="preserve">т правом на досудебное обжалование решений органа государственного </w:t>
      </w:r>
      <w:r>
        <w:rPr>
          <w:rFonts w:ascii="Times New Roman" w:hAnsi="Times New Roman"/>
          <w:sz w:val="28"/>
        </w:rPr>
        <w:t>жилищного надзора,</w:t>
      </w:r>
      <w:r>
        <w:rPr>
          <w:rStyle w:val="Style_6_ch"/>
          <w:rFonts w:ascii="Times New Roman" w:hAnsi="Times New Roman"/>
          <w:sz w:val="28"/>
        </w:rPr>
        <w:t xml:space="preserve"> действий (бездействия) должностных лиц органа государственного жилищного надзора в рамках контрольных (надзорных) мероприятий.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В июне 2024 года Фонд обжаловал предписание</w:t>
      </w:r>
      <w:r>
        <w:rPr>
          <w:rStyle w:val="Style_6_ch"/>
          <w:rFonts w:ascii="Times New Roman" w:hAnsi="Times New Roman"/>
          <w:sz w:val="28"/>
        </w:rPr>
        <w:t xml:space="preserve"> Инспекции, производство по делу прекращено, в связи с отказом от заявленных требований в полном объеме.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ind/>
      <w:jc w:val="center"/>
    </w:pP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Heading 6 Char"/>
    <w:basedOn w:val="Style_10"/>
    <w:link w:val="Style_9_ch"/>
    <w:rPr>
      <w:rFonts w:ascii="Arial" w:hAnsi="Arial"/>
      <w:b w:val="1"/>
    </w:rPr>
  </w:style>
  <w:style w:styleId="Style_9_ch" w:type="character">
    <w:name w:val="Heading 6 Char"/>
    <w:basedOn w:val="Style_10_ch"/>
    <w:link w:val="Style_9"/>
    <w:rPr>
      <w:rFonts w:ascii="Arial" w:hAnsi="Arial"/>
      <w:b w:val="1"/>
    </w:rPr>
  </w:style>
  <w:style w:styleId="Style_11" w:type="paragraph">
    <w:name w:val="toc 4"/>
    <w:next w:val="Style_7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ing 7"/>
    <w:basedOn w:val="Style_7"/>
    <w:next w:val="Style_7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7_ch"/>
    <w:link w:val="Style_12"/>
    <w:rPr>
      <w:rFonts w:ascii="Arial" w:hAnsi="Arial"/>
      <w:b w:val="1"/>
      <w:i w:val="1"/>
    </w:rPr>
  </w:style>
  <w:style w:styleId="Style_13" w:type="paragraph">
    <w:name w:val="toc 6"/>
    <w:next w:val="Style_7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15" w:type="paragraph">
    <w:name w:val="Balloon Text"/>
    <w:basedOn w:val="Style_7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7_ch"/>
    <w:link w:val="Style_15"/>
    <w:rPr>
      <w:rFonts w:ascii="Segoe UI" w:hAnsi="Segoe UI"/>
      <w:sz w:val="18"/>
    </w:rPr>
  </w:style>
  <w:style w:styleId="Style_16" w:type="paragraph">
    <w:name w:val="heading 3"/>
    <w:next w:val="Style_7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Heading 5 Char"/>
    <w:basedOn w:val="Style_10"/>
    <w:link w:val="Style_17_ch"/>
    <w:rPr>
      <w:rFonts w:ascii="Arial" w:hAnsi="Arial"/>
      <w:b w:val="1"/>
      <w:sz w:val="24"/>
    </w:rPr>
  </w:style>
  <w:style w:styleId="Style_17_ch" w:type="character">
    <w:name w:val="Heading 5 Char"/>
    <w:basedOn w:val="Style_10_ch"/>
    <w:link w:val="Style_17"/>
    <w:rPr>
      <w:rFonts w:ascii="Arial" w:hAnsi="Arial"/>
      <w:b w:val="1"/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Intense Quote"/>
    <w:basedOn w:val="Style_7"/>
    <w:next w:val="Style_7"/>
    <w:link w:val="Style_19_ch"/>
    <w:pPr>
      <w:ind w:firstLine="0" w:left="720" w:right="720"/>
    </w:pPr>
    <w:rPr>
      <w:i w:val="1"/>
    </w:rPr>
  </w:style>
  <w:style w:styleId="Style_19_ch" w:type="character">
    <w:name w:val="Intense Quote"/>
    <w:basedOn w:val="Style_7_ch"/>
    <w:link w:val="Style_19"/>
    <w:rPr>
      <w:i w:val="1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heading 9"/>
    <w:basedOn w:val="Style_7"/>
    <w:next w:val="Style_7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7_ch"/>
    <w:link w:val="Style_21"/>
    <w:rPr>
      <w:rFonts w:ascii="Arial" w:hAnsi="Arial"/>
      <w:i w:val="1"/>
      <w:sz w:val="21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Heading 8 Char"/>
    <w:basedOn w:val="Style_10"/>
    <w:link w:val="Style_23_ch"/>
    <w:rPr>
      <w:rFonts w:ascii="Arial" w:hAnsi="Arial"/>
      <w:i w:val="1"/>
    </w:rPr>
  </w:style>
  <w:style w:styleId="Style_23_ch" w:type="character">
    <w:name w:val="Heading 8 Char"/>
    <w:basedOn w:val="Style_10_ch"/>
    <w:link w:val="Style_23"/>
    <w:rPr>
      <w:rFonts w:ascii="Arial" w:hAnsi="Arial"/>
      <w:i w:val="1"/>
    </w:rPr>
  </w:style>
  <w:style w:styleId="Style_24" w:type="paragraph">
    <w:name w:val="Plain Text"/>
    <w:basedOn w:val="Style_7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7_ch"/>
    <w:link w:val="Style_24"/>
    <w:rPr>
      <w:rFonts w:ascii="Calibri" w:hAnsi="Calibri"/>
    </w:rPr>
  </w:style>
  <w:style w:styleId="Style_25" w:type="paragraph">
    <w:name w:val="Intense Quote Char"/>
    <w:link w:val="Style_25_ch"/>
    <w:rPr>
      <w:i w:val="1"/>
    </w:rPr>
  </w:style>
  <w:style w:styleId="Style_25_ch" w:type="character">
    <w:name w:val="Intense Quote Char"/>
    <w:link w:val="Style_25"/>
    <w:rPr>
      <w:i w:val="1"/>
    </w:rPr>
  </w:style>
  <w:style w:styleId="Style_26" w:type="paragraph">
    <w:name w:val="Footnote"/>
    <w:basedOn w:val="Style_7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7_ch"/>
    <w:link w:val="Style_26"/>
    <w:rPr>
      <w:sz w:val="18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Heading 2 Char"/>
    <w:basedOn w:val="Style_10"/>
    <w:link w:val="Style_28_ch"/>
    <w:rPr>
      <w:rFonts w:ascii="Arial" w:hAnsi="Arial"/>
      <w:sz w:val="34"/>
    </w:rPr>
  </w:style>
  <w:style w:styleId="Style_28_ch" w:type="character">
    <w:name w:val="Heading 2 Char"/>
    <w:basedOn w:val="Style_10_ch"/>
    <w:link w:val="Style_28"/>
    <w:rPr>
      <w:rFonts w:ascii="Arial" w:hAnsi="Arial"/>
      <w:sz w:val="34"/>
    </w:rPr>
  </w:style>
  <w:style w:styleId="Style_29" w:type="paragraph">
    <w:name w:val="toc 3"/>
    <w:next w:val="Style_7"/>
    <w:link w:val="Style_29_ch"/>
    <w:uiPriority w:val="39"/>
    <w:pPr>
      <w:ind w:firstLine="0" w:left="400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Quote"/>
    <w:basedOn w:val="Style_7"/>
    <w:next w:val="Style_7"/>
    <w:link w:val="Style_30_ch"/>
    <w:pPr>
      <w:ind w:firstLine="0" w:left="720" w:right="720"/>
    </w:pPr>
    <w:rPr>
      <w:i w:val="1"/>
    </w:rPr>
  </w:style>
  <w:style w:styleId="Style_30_ch" w:type="character">
    <w:name w:val="Quote"/>
    <w:basedOn w:val="Style_7_ch"/>
    <w:link w:val="Style_30"/>
    <w:rPr>
      <w:i w:val="1"/>
    </w:rPr>
  </w:style>
  <w:style w:styleId="Style_31" w:type="paragraph">
    <w:name w:val="Title Char"/>
    <w:basedOn w:val="Style_10"/>
    <w:link w:val="Style_31_ch"/>
    <w:rPr>
      <w:sz w:val="48"/>
    </w:rPr>
  </w:style>
  <w:style w:styleId="Style_31_ch" w:type="character">
    <w:name w:val="Title Char"/>
    <w:basedOn w:val="Style_10_ch"/>
    <w:link w:val="Style_31"/>
    <w:rPr>
      <w:sz w:val="48"/>
    </w:rPr>
  </w:style>
  <w:style w:styleId="Style_32" w:type="paragraph">
    <w:name w:val="List Paragraph"/>
    <w:basedOn w:val="Style_7"/>
    <w:link w:val="Style_32_ch"/>
    <w:pPr>
      <w:ind w:firstLine="0" w:left="720"/>
      <w:contextualSpacing w:val="1"/>
    </w:pPr>
  </w:style>
  <w:style w:styleId="Style_32_ch" w:type="character">
    <w:name w:val="List Paragraph"/>
    <w:basedOn w:val="Style_7_ch"/>
    <w:link w:val="Style_32"/>
  </w:style>
  <w:style w:styleId="Style_33" w:type="paragraph">
    <w:name w:val="heading 5"/>
    <w:next w:val="Style_7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Caption Char"/>
    <w:link w:val="Style_35_ch"/>
  </w:style>
  <w:style w:styleId="Style_35_ch" w:type="character">
    <w:name w:val="Caption Char"/>
    <w:link w:val="Style_35"/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36" w:type="paragraph">
    <w:name w:val="heading 1"/>
    <w:next w:val="Style_7"/>
    <w:link w:val="Style_3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Header Char"/>
    <w:basedOn w:val="Style_10"/>
    <w:link w:val="Style_37_ch"/>
  </w:style>
  <w:style w:styleId="Style_37_ch" w:type="character">
    <w:name w:val="Header Char"/>
    <w:basedOn w:val="Style_10_ch"/>
    <w:link w:val="Style_37"/>
  </w:style>
  <w:style w:styleId="Style_38" w:type="paragraph">
    <w:name w:val="Endnote Text Char"/>
    <w:link w:val="Style_38_ch"/>
    <w:rPr>
      <w:sz w:val="20"/>
    </w:rPr>
  </w:style>
  <w:style w:styleId="Style_38_ch" w:type="character">
    <w:name w:val="Endnote Text Char"/>
    <w:link w:val="Style_38"/>
    <w:rPr>
      <w:sz w:val="20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</w:rPr>
  </w:style>
  <w:style w:styleId="Style_40_ch" w:type="character">
    <w:name w:val="Footnote"/>
    <w:link w:val="Style_40"/>
    <w:rPr>
      <w:rFonts w:ascii="XO Thames" w:hAnsi="XO Thames"/>
    </w:rPr>
  </w:style>
  <w:style w:styleId="Style_41" w:type="paragraph">
    <w:name w:val="heading 8"/>
    <w:basedOn w:val="Style_7"/>
    <w:next w:val="Style_7"/>
    <w:link w:val="Style_4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1_ch" w:type="character">
    <w:name w:val="heading 8"/>
    <w:basedOn w:val="Style_7_ch"/>
    <w:link w:val="Style_41"/>
    <w:rPr>
      <w:rFonts w:ascii="Arial" w:hAnsi="Arial"/>
      <w:i w:val="1"/>
    </w:rPr>
  </w:style>
  <w:style w:styleId="Style_42" w:type="paragraph">
    <w:name w:val="toc 1"/>
    <w:next w:val="Style_7"/>
    <w:link w:val="Style_42_ch"/>
    <w:uiPriority w:val="39"/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Endnote"/>
    <w:basedOn w:val="Style_7"/>
    <w:link w:val="Style_43_ch"/>
    <w:pPr>
      <w:spacing w:after="0" w:line="240" w:lineRule="auto"/>
      <w:ind/>
    </w:pPr>
    <w:rPr>
      <w:sz w:val="20"/>
    </w:rPr>
  </w:style>
  <w:style w:styleId="Style_43_ch" w:type="character">
    <w:name w:val="Endnote"/>
    <w:basedOn w:val="Style_7_ch"/>
    <w:link w:val="Style_43"/>
    <w:rPr>
      <w:sz w:val="20"/>
    </w:rPr>
  </w:style>
  <w:style w:styleId="Style_44" w:type="paragraph">
    <w:name w:val="Header and Footer"/>
    <w:link w:val="Style_44_ch"/>
    <w:pPr>
      <w:spacing w:line="240" w:lineRule="auto"/>
      <w:ind/>
      <w:jc w:val="both"/>
    </w:pPr>
    <w:rPr>
      <w:rFonts w:ascii="XO Thames" w:hAnsi="XO Thames"/>
      <w:sz w:val="20"/>
    </w:rPr>
  </w:style>
  <w:style w:styleId="Style_44_ch" w:type="character">
    <w:name w:val="Header and Footer"/>
    <w:link w:val="Style_44"/>
    <w:rPr>
      <w:rFonts w:ascii="XO Thames" w:hAnsi="XO Thames"/>
      <w:sz w:val="20"/>
    </w:rPr>
  </w:style>
  <w:style w:styleId="Style_45" w:type="paragraph">
    <w:name w:val="Heading 9 Char"/>
    <w:basedOn w:val="Style_10"/>
    <w:link w:val="Style_45_ch"/>
    <w:rPr>
      <w:rFonts w:ascii="Arial" w:hAnsi="Arial"/>
      <w:i w:val="1"/>
      <w:sz w:val="21"/>
    </w:rPr>
  </w:style>
  <w:style w:styleId="Style_45_ch" w:type="character">
    <w:name w:val="Heading 9 Char"/>
    <w:basedOn w:val="Style_10_ch"/>
    <w:link w:val="Style_45"/>
    <w:rPr>
      <w:rFonts w:ascii="Arial" w:hAnsi="Arial"/>
      <w:i w:val="1"/>
      <w:sz w:val="21"/>
    </w:rPr>
  </w:style>
  <w:style w:styleId="Style_46" w:type="paragraph">
    <w:name w:val="Quote Char"/>
    <w:link w:val="Style_46_ch"/>
    <w:rPr>
      <w:i w:val="1"/>
    </w:rPr>
  </w:style>
  <w:style w:styleId="Style_46_ch" w:type="character">
    <w:name w:val="Quote Char"/>
    <w:link w:val="Style_46"/>
    <w:rPr>
      <w:i w:val="1"/>
    </w:rPr>
  </w:style>
  <w:style w:styleId="Style_47" w:type="paragraph">
    <w:name w:val="toc 9"/>
    <w:next w:val="Style_7"/>
    <w:link w:val="Style_47_ch"/>
    <w:uiPriority w:val="39"/>
    <w:pPr>
      <w:ind w:firstLine="0" w:left="1600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table of figures"/>
    <w:basedOn w:val="Style_7"/>
    <w:next w:val="Style_7"/>
    <w:link w:val="Style_48_ch"/>
    <w:pPr>
      <w:spacing w:after="0"/>
      <w:ind/>
    </w:pPr>
  </w:style>
  <w:style w:styleId="Style_48_ch" w:type="character">
    <w:name w:val="table of figures"/>
    <w:basedOn w:val="Style_7_ch"/>
    <w:link w:val="Style_48"/>
  </w:style>
  <w:style w:styleId="Style_49" w:type="paragraph">
    <w:name w:val="Заголовок 5 Знак"/>
    <w:link w:val="Style_49_ch"/>
    <w:rPr>
      <w:rFonts w:ascii="XO Thames" w:hAnsi="XO Thames"/>
      <w:b w:val="1"/>
    </w:rPr>
  </w:style>
  <w:style w:styleId="Style_49_ch" w:type="character">
    <w:name w:val="Заголовок 5 Знак"/>
    <w:link w:val="Style_49"/>
    <w:rPr>
      <w:rFonts w:ascii="XO Thames" w:hAnsi="XO Thames"/>
      <w:b w:val="1"/>
    </w:rPr>
  </w:style>
  <w:style w:styleId="Style_50" w:type="paragraph">
    <w:name w:val="Гиперссылка1"/>
    <w:link w:val="Style_50_ch"/>
    <w:rPr>
      <w:color w:val="0000FF"/>
      <w:u w:val="single"/>
    </w:rPr>
  </w:style>
  <w:style w:styleId="Style_50_ch" w:type="character">
    <w:name w:val="Гиперссылка1"/>
    <w:link w:val="Style_50"/>
    <w:rPr>
      <w:color w:val="0000FF"/>
      <w:u w:val="single"/>
    </w:rPr>
  </w:style>
  <w:style w:styleId="Style_51" w:type="paragraph">
    <w:name w:val="TOC Heading"/>
    <w:link w:val="Style_51_ch"/>
  </w:style>
  <w:style w:styleId="Style_51_ch" w:type="character">
    <w:name w:val="TOC Heading"/>
    <w:link w:val="Style_51"/>
  </w:style>
  <w:style w:styleId="Style_52" w:type="paragraph">
    <w:name w:val="Heading 1 Char"/>
    <w:basedOn w:val="Style_10"/>
    <w:link w:val="Style_52_ch"/>
    <w:rPr>
      <w:rFonts w:ascii="Arial" w:hAnsi="Arial"/>
      <w:sz w:val="40"/>
    </w:rPr>
  </w:style>
  <w:style w:styleId="Style_52_ch" w:type="character">
    <w:name w:val="Heading 1 Char"/>
    <w:basedOn w:val="Style_10_ch"/>
    <w:link w:val="Style_52"/>
    <w:rPr>
      <w:rFonts w:ascii="Arial" w:hAnsi="Arial"/>
      <w:sz w:val="40"/>
    </w:rPr>
  </w:style>
  <w:style w:styleId="Style_53" w:type="paragraph">
    <w:name w:val="toc 8"/>
    <w:next w:val="Style_7"/>
    <w:link w:val="Style_53_ch"/>
    <w:uiPriority w:val="39"/>
    <w:pPr>
      <w:ind w:firstLine="0" w:left="1400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toc 5"/>
    <w:next w:val="Style_7"/>
    <w:link w:val="Style_54_ch"/>
    <w:uiPriority w:val="39"/>
    <w:pPr>
      <w:ind w:firstLine="0" w:left="800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Footer Char"/>
    <w:basedOn w:val="Style_10"/>
    <w:link w:val="Style_55_ch"/>
  </w:style>
  <w:style w:styleId="Style_55_ch" w:type="character">
    <w:name w:val="Footer Char"/>
    <w:basedOn w:val="Style_10_ch"/>
    <w:link w:val="Style_55"/>
  </w:style>
  <w:style w:styleId="Style_56" w:type="paragraph">
    <w:name w:val="Знак сноски1"/>
    <w:basedOn w:val="Style_10"/>
    <w:link w:val="Style_56_ch"/>
    <w:rPr>
      <w:vertAlign w:val="superscript"/>
    </w:rPr>
  </w:style>
  <w:style w:styleId="Style_56_ch" w:type="character">
    <w:name w:val="Знак сноски1"/>
    <w:basedOn w:val="Style_10_ch"/>
    <w:link w:val="Style_56"/>
    <w:rPr>
      <w:vertAlign w:val="superscript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57" w:type="paragraph">
    <w:name w:val="Heading 4 Char"/>
    <w:basedOn w:val="Style_10"/>
    <w:link w:val="Style_57_ch"/>
    <w:rPr>
      <w:rFonts w:ascii="Arial" w:hAnsi="Arial"/>
      <w:b w:val="1"/>
      <w:sz w:val="26"/>
    </w:rPr>
  </w:style>
  <w:style w:styleId="Style_57_ch" w:type="character">
    <w:name w:val="Heading 4 Char"/>
    <w:basedOn w:val="Style_10_ch"/>
    <w:link w:val="Style_57"/>
    <w:rPr>
      <w:rFonts w:ascii="Arial" w:hAnsi="Arial"/>
      <w:b w:val="1"/>
      <w:sz w:val="26"/>
    </w:rPr>
  </w:style>
  <w:style w:styleId="Style_58" w:type="paragraph">
    <w:name w:val="Heading 7 Char"/>
    <w:basedOn w:val="Style_10"/>
    <w:link w:val="Style_58_ch"/>
    <w:rPr>
      <w:rFonts w:ascii="Arial" w:hAnsi="Arial"/>
      <w:b w:val="1"/>
      <w:i w:val="1"/>
    </w:rPr>
  </w:style>
  <w:style w:styleId="Style_58_ch" w:type="character">
    <w:name w:val="Heading 7 Char"/>
    <w:basedOn w:val="Style_10_ch"/>
    <w:link w:val="Style_58"/>
    <w:rPr>
      <w:rFonts w:ascii="Arial" w:hAnsi="Arial"/>
      <w:b w:val="1"/>
      <w:i w:val="1"/>
    </w:rPr>
  </w:style>
  <w:style w:styleId="Style_59" w:type="paragraph">
    <w:name w:val="Footnote Text Char"/>
    <w:link w:val="Style_59_ch"/>
    <w:rPr>
      <w:sz w:val="18"/>
    </w:rPr>
  </w:style>
  <w:style w:styleId="Style_59_ch" w:type="character">
    <w:name w:val="Footnote Text Char"/>
    <w:link w:val="Style_59"/>
    <w:rPr>
      <w:sz w:val="18"/>
    </w:rPr>
  </w:style>
  <w:style w:styleId="Style_60" w:type="paragraph">
    <w:name w:val="Subtitle"/>
    <w:next w:val="Style_7"/>
    <w:link w:val="Style_6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0_ch" w:type="character">
    <w:name w:val="Subtitle"/>
    <w:link w:val="Style_60"/>
    <w:rPr>
      <w:rFonts w:ascii="XO Thames" w:hAnsi="XO Thames"/>
      <w:i w:val="1"/>
      <w:sz w:val="24"/>
    </w:rPr>
  </w:style>
  <w:style w:styleId="Style_61" w:type="paragraph">
    <w:name w:val="footer"/>
    <w:basedOn w:val="Style_7"/>
    <w:link w:val="Style_6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61_ch" w:type="character">
    <w:name w:val="footer"/>
    <w:basedOn w:val="Style_7_ch"/>
    <w:link w:val="Style_61"/>
    <w:rPr>
      <w:rFonts w:ascii="Times New Roman" w:hAnsi="Times New Roman"/>
      <w:sz w:val="28"/>
    </w:rPr>
  </w:style>
  <w:style w:styleId="Style_62" w:type="paragraph">
    <w:name w:val="Знак концевой сноски1"/>
    <w:basedOn w:val="Style_10"/>
    <w:link w:val="Style_62_ch"/>
    <w:rPr>
      <w:vertAlign w:val="superscript"/>
    </w:rPr>
  </w:style>
  <w:style w:styleId="Style_62_ch" w:type="character">
    <w:name w:val="Знак концевой сноски1"/>
    <w:basedOn w:val="Style_10_ch"/>
    <w:link w:val="Style_62"/>
    <w:rPr>
      <w:vertAlign w:val="superscript"/>
    </w:rPr>
  </w:style>
  <w:style w:styleId="Style_63" w:type="paragraph">
    <w:name w:val="Heading 3 Char"/>
    <w:basedOn w:val="Style_10"/>
    <w:link w:val="Style_63_ch"/>
    <w:rPr>
      <w:rFonts w:ascii="Arial" w:hAnsi="Arial"/>
      <w:sz w:val="30"/>
    </w:rPr>
  </w:style>
  <w:style w:styleId="Style_63_ch" w:type="character">
    <w:name w:val="Heading 3 Char"/>
    <w:basedOn w:val="Style_10_ch"/>
    <w:link w:val="Style_63"/>
    <w:rPr>
      <w:rFonts w:ascii="Arial" w:hAnsi="Arial"/>
      <w:sz w:val="30"/>
    </w:rPr>
  </w:style>
  <w:style w:styleId="Style_64" w:type="paragraph">
    <w:name w:val="Title"/>
    <w:next w:val="Style_7"/>
    <w:link w:val="Style_6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4_ch" w:type="character">
    <w:name w:val="Title"/>
    <w:link w:val="Style_64"/>
    <w:rPr>
      <w:rFonts w:ascii="XO Thames" w:hAnsi="XO Thames"/>
      <w:b w:val="1"/>
      <w:caps w:val="1"/>
      <w:sz w:val="40"/>
    </w:rPr>
  </w:style>
  <w:style w:styleId="Style_65" w:type="paragraph">
    <w:name w:val="heading 4"/>
    <w:next w:val="Style_7"/>
    <w:link w:val="Style_6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5_ch" w:type="character">
    <w:name w:val="heading 4"/>
    <w:link w:val="Style_65"/>
    <w:rPr>
      <w:rFonts w:ascii="XO Thames" w:hAnsi="XO Thames"/>
      <w:b w:val="1"/>
      <w:sz w:val="24"/>
    </w:rPr>
  </w:style>
  <w:style w:styleId="Style_66" w:type="paragraph">
    <w:name w:val="heading 2"/>
    <w:next w:val="Style_7"/>
    <w:link w:val="Style_6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6_ch" w:type="character">
    <w:name w:val="heading 2"/>
    <w:link w:val="Style_66"/>
    <w:rPr>
      <w:rFonts w:ascii="XO Thames" w:hAnsi="XO Thames"/>
      <w:b w:val="1"/>
      <w:sz w:val="28"/>
    </w:rPr>
  </w:style>
  <w:style w:styleId="Style_67" w:type="paragraph">
    <w:name w:val="Subtitle Char"/>
    <w:basedOn w:val="Style_10"/>
    <w:link w:val="Style_67_ch"/>
    <w:rPr>
      <w:sz w:val="24"/>
    </w:rPr>
  </w:style>
  <w:style w:styleId="Style_67_ch" w:type="character">
    <w:name w:val="Subtitle Char"/>
    <w:basedOn w:val="Style_10_ch"/>
    <w:link w:val="Style_67"/>
    <w:rPr>
      <w:sz w:val="24"/>
    </w:rPr>
  </w:style>
  <w:style w:styleId="Style_68" w:type="paragraph">
    <w:name w:val="Гиперссылка1"/>
    <w:basedOn w:val="Style_22"/>
    <w:link w:val="Style_68_ch"/>
    <w:rPr>
      <w:color w:themeColor="hyperlink" w:val="0563C1"/>
      <w:u w:val="single"/>
    </w:rPr>
  </w:style>
  <w:style w:styleId="Style_68_ch" w:type="character">
    <w:name w:val="Гиперссылка1"/>
    <w:basedOn w:val="Style_22_ch"/>
    <w:link w:val="Style_68"/>
    <w:rPr>
      <w:color w:themeColor="hyperlink" w:val="0563C1"/>
      <w:u w:val="single"/>
    </w:rPr>
  </w:style>
  <w:style w:styleId="Style_69" w:type="paragraph">
    <w:name w:val="caption"/>
    <w:basedOn w:val="Style_7"/>
    <w:next w:val="Style_7"/>
    <w:link w:val="Style_69_ch"/>
    <w:pPr>
      <w:spacing w:line="276" w:lineRule="auto"/>
      <w:ind/>
    </w:pPr>
    <w:rPr>
      <w:b w:val="1"/>
      <w:color w:themeColor="accent1" w:val="5B9BD5"/>
      <w:sz w:val="18"/>
    </w:rPr>
  </w:style>
  <w:style w:styleId="Style_69_ch" w:type="character">
    <w:name w:val="caption"/>
    <w:basedOn w:val="Style_7_ch"/>
    <w:link w:val="Style_69"/>
    <w:rPr>
      <w:b w:val="1"/>
      <w:color w:themeColor="accent1" w:val="5B9BD5"/>
      <w:sz w:val="18"/>
    </w:rPr>
  </w:style>
  <w:style w:styleId="Style_70" w:type="paragraph">
    <w:name w:val="Гиперссылка2"/>
    <w:link w:val="Style_70_ch"/>
    <w:rPr>
      <w:color w:val="0000FF"/>
      <w:u w:val="single"/>
    </w:rPr>
  </w:style>
  <w:style w:styleId="Style_70_ch" w:type="character">
    <w:name w:val="Гиперссылка2"/>
    <w:link w:val="Style_70"/>
    <w:rPr>
      <w:color w:val="0000FF"/>
      <w:u w:val="single"/>
    </w:rPr>
  </w:style>
  <w:style w:styleId="Style_71" w:type="paragraph">
    <w:name w:val="heading 6"/>
    <w:basedOn w:val="Style_7"/>
    <w:next w:val="Style_7"/>
    <w:link w:val="Style_7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1_ch" w:type="character">
    <w:name w:val="heading 6"/>
    <w:basedOn w:val="Style_7_ch"/>
    <w:link w:val="Style_71"/>
    <w:rPr>
      <w:rFonts w:ascii="Arial" w:hAnsi="Arial"/>
      <w:b w:val="1"/>
    </w:rPr>
  </w:style>
  <w:style w:styleId="Style_72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3" w:type="table">
    <w:name w:val="Сетка таблицы1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4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5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7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8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79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0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1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2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3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84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5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6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" w:type="table">
    <w:name w:val="Сетка таблицы4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7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8" w:type="table">
    <w:name w:val="List Table 1 Light - Accent 1"/>
    <w:basedOn w:val="Style_4"/>
    <w:pPr>
      <w:spacing w:after="0" w:line="240" w:lineRule="auto"/>
      <w:ind/>
    </w:pPr>
  </w:style>
  <w:style w:styleId="Style_89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0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1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2" w:type="table">
    <w:name w:val="Сетка таблицы31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3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4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5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6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7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8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9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0" w:type="table">
    <w:name w:val="Сетка таблицы2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1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2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3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04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5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6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7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08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9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0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1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2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3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4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5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6" w:type="table">
    <w:name w:val="List Table 1 Light - Accent 6"/>
    <w:basedOn w:val="Style_4"/>
    <w:pPr>
      <w:spacing w:after="0" w:line="240" w:lineRule="auto"/>
      <w:ind/>
    </w:pPr>
  </w:style>
  <w:style w:styleId="Style_117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8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19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0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122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124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5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26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7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8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9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0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31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2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3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34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5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6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37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38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9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0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2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3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4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45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6" w:type="table">
    <w:name w:val="List Table 1 Light - Accent 2"/>
    <w:basedOn w:val="Style_4"/>
    <w:pPr>
      <w:spacing w:after="0" w:line="240" w:lineRule="auto"/>
      <w:ind/>
    </w:pPr>
  </w:style>
  <w:style w:styleId="Style_147" w:type="table">
    <w:name w:val="List Table 1 Light - Accent 5"/>
    <w:basedOn w:val="Style_4"/>
    <w:pPr>
      <w:spacing w:after="0" w:line="240" w:lineRule="auto"/>
      <w:ind/>
    </w:pPr>
  </w:style>
  <w:style w:styleId="Style_148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9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0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152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53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154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5" w:type="table">
    <w:name w:val="Plain Table 3"/>
    <w:basedOn w:val="Style_4"/>
    <w:pPr>
      <w:spacing w:after="0" w:line="240" w:lineRule="auto"/>
      <w:ind/>
    </w:pPr>
  </w:style>
  <w:style w:styleId="Style_156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7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8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Plain Table 5"/>
    <w:basedOn w:val="Style_4"/>
    <w:pPr>
      <w:spacing w:after="0" w:line="240" w:lineRule="auto"/>
      <w:ind/>
    </w:pPr>
  </w:style>
  <w:style w:styleId="Style_160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2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4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5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66" w:type="table">
    <w:name w:val="Plain Table 4"/>
    <w:basedOn w:val="Style_4"/>
    <w:pPr>
      <w:spacing w:after="0" w:line="240" w:lineRule="auto"/>
      <w:ind/>
    </w:pPr>
  </w:style>
  <w:style w:styleId="Style_167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8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9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0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1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73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4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5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6" w:type="table">
    <w:name w:val="List Table 1 Light"/>
    <w:basedOn w:val="Style_4"/>
    <w:pPr>
      <w:spacing w:after="0" w:line="240" w:lineRule="auto"/>
      <w:ind/>
    </w:pPr>
  </w:style>
  <w:style w:styleId="Style_177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8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9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0" w:type="table">
    <w:name w:val="List Table 1 Light - Accent 3"/>
    <w:basedOn w:val="Style_4"/>
    <w:pPr>
      <w:spacing w:after="0" w:line="240" w:lineRule="auto"/>
      <w:ind/>
    </w:pPr>
  </w:style>
  <w:style w:styleId="Style_181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82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3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4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185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86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7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8" w:type="table">
    <w:name w:val="Сетка таблицы3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9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190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91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92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93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4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5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6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7" w:type="table">
    <w:name w:val="List Table 1 Light - Accent 4"/>
    <w:basedOn w:val="Style_4"/>
    <w:pPr>
      <w:spacing w:after="0" w:line="240" w:lineRule="auto"/>
      <w:ind/>
    </w:pPr>
  </w:style>
  <w:style w:styleId="Style_198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9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00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2025-02-21T04:38:35Z</dcterms:modified>
</cp:coreProperties>
</file>